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9818" w14:textId="77777777" w:rsidR="0048716A" w:rsidRDefault="0044242F" w:rsidP="0044242F">
      <w:pPr>
        <w:spacing w:line="240" w:lineRule="auto"/>
        <w:rPr>
          <w:rFonts w:cs="Arial"/>
          <w:sz w:val="32"/>
        </w:rPr>
      </w:pPr>
      <w:r w:rsidRPr="001A1ADE">
        <w:rPr>
          <w:b/>
          <w:bCs/>
          <w:noProof/>
          <w:sz w:val="32"/>
          <w:lang w:eastAsia="hr-HR"/>
        </w:rPr>
        <w:drawing>
          <wp:inline distT="0" distB="0" distL="0" distR="0" wp14:anchorId="0CF29F92" wp14:editId="52E063BA">
            <wp:extent cx="2943225" cy="1314450"/>
            <wp:effectExtent l="0" t="0" r="9525" b="0"/>
            <wp:docPr id="1" name="Slika 1" descr="Opis: 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VIDR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3225" cy="1314450"/>
                    </a:xfrm>
                    <a:prstGeom prst="rect">
                      <a:avLst/>
                    </a:prstGeom>
                    <a:noFill/>
                    <a:ln>
                      <a:noFill/>
                    </a:ln>
                  </pic:spPr>
                </pic:pic>
              </a:graphicData>
            </a:graphic>
          </wp:inline>
        </w:drawing>
      </w:r>
    </w:p>
    <w:p w14:paraId="47798851" w14:textId="77777777" w:rsidR="005F2AE3" w:rsidRDefault="005F2AE3" w:rsidP="0044242F">
      <w:pPr>
        <w:spacing w:line="240" w:lineRule="auto"/>
        <w:rPr>
          <w:rFonts w:cs="Arial"/>
          <w:sz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4515"/>
      </w:tblGrid>
      <w:tr w:rsidR="00C50A06" w:rsidRPr="00044BBD" w14:paraId="2D6F1BBB" w14:textId="77777777" w:rsidTr="002769FD">
        <w:tc>
          <w:tcPr>
            <w:tcW w:w="5353" w:type="dxa"/>
          </w:tcPr>
          <w:p w14:paraId="1C6F5CBA" w14:textId="77777777" w:rsidR="00C50A06" w:rsidRPr="00044BBD" w:rsidRDefault="00C50A06" w:rsidP="002769FD">
            <w:pPr>
              <w:rPr>
                <w:rFonts w:cs="Arial"/>
              </w:rPr>
            </w:pPr>
            <w:r w:rsidRPr="00044BBD">
              <w:rPr>
                <w:rFonts w:cs="Arial"/>
                <w:b/>
              </w:rPr>
              <w:t>Naziv obveznika:</w:t>
            </w:r>
            <w:r w:rsidRPr="00044BBD">
              <w:rPr>
                <w:rFonts w:cs="Arial"/>
              </w:rPr>
              <w:t xml:space="preserve"> VIDRA-Agencija za regionalni razvoj Virovitičko-podravske županije</w:t>
            </w:r>
          </w:p>
        </w:tc>
        <w:tc>
          <w:tcPr>
            <w:tcW w:w="4609" w:type="dxa"/>
          </w:tcPr>
          <w:p w14:paraId="7745021D" w14:textId="77777777" w:rsidR="00C50A06" w:rsidRPr="005C2C5A" w:rsidRDefault="00C50A06" w:rsidP="002769FD">
            <w:pPr>
              <w:rPr>
                <w:rFonts w:cs="Arial"/>
              </w:rPr>
            </w:pPr>
            <w:r>
              <w:rPr>
                <w:rFonts w:cs="Arial"/>
                <w:b/>
              </w:rPr>
              <w:t>Broj RKP-a:</w:t>
            </w:r>
            <w:r>
              <w:rPr>
                <w:rFonts w:cs="Arial"/>
              </w:rPr>
              <w:t xml:space="preserve"> 43896</w:t>
            </w:r>
          </w:p>
        </w:tc>
      </w:tr>
      <w:tr w:rsidR="00C50A06" w:rsidRPr="00044BBD" w14:paraId="47CF4384" w14:textId="77777777" w:rsidTr="002769FD">
        <w:tc>
          <w:tcPr>
            <w:tcW w:w="5353" w:type="dxa"/>
          </w:tcPr>
          <w:p w14:paraId="1A879EE4" w14:textId="77777777" w:rsidR="00C50A06" w:rsidRPr="005C2C5A" w:rsidRDefault="00C50A06" w:rsidP="002769FD">
            <w:pPr>
              <w:rPr>
                <w:rFonts w:cs="Arial"/>
              </w:rPr>
            </w:pPr>
            <w:r>
              <w:rPr>
                <w:rFonts w:cs="Arial"/>
                <w:b/>
              </w:rPr>
              <w:t xml:space="preserve">Sjedišta obveznika: </w:t>
            </w:r>
            <w:r>
              <w:rPr>
                <w:rFonts w:cs="Arial"/>
              </w:rPr>
              <w:t>Augusta Šenoe 1, Virovitica</w:t>
            </w:r>
          </w:p>
        </w:tc>
        <w:tc>
          <w:tcPr>
            <w:tcW w:w="4609" w:type="dxa"/>
          </w:tcPr>
          <w:p w14:paraId="5FE74F04" w14:textId="77777777" w:rsidR="00C50A06" w:rsidRPr="005C2C5A" w:rsidRDefault="00C50A06" w:rsidP="002769FD">
            <w:pPr>
              <w:rPr>
                <w:rFonts w:cs="Arial"/>
              </w:rPr>
            </w:pPr>
            <w:r>
              <w:rPr>
                <w:rFonts w:cs="Arial"/>
                <w:b/>
              </w:rPr>
              <w:t>Matični broj:</w:t>
            </w:r>
            <w:r>
              <w:rPr>
                <w:rFonts w:cs="Arial"/>
              </w:rPr>
              <w:t xml:space="preserve"> 02446774</w:t>
            </w:r>
          </w:p>
        </w:tc>
      </w:tr>
      <w:tr w:rsidR="00C50A06" w:rsidRPr="00044BBD" w14:paraId="2D36C238" w14:textId="77777777" w:rsidTr="002769FD">
        <w:tc>
          <w:tcPr>
            <w:tcW w:w="5353" w:type="dxa"/>
          </w:tcPr>
          <w:p w14:paraId="755DEA7A" w14:textId="77777777" w:rsidR="00C50A06" w:rsidRPr="005C2C5A" w:rsidRDefault="00C50A06" w:rsidP="002769FD">
            <w:pPr>
              <w:rPr>
                <w:rFonts w:cs="Arial"/>
              </w:rPr>
            </w:pPr>
            <w:r>
              <w:rPr>
                <w:rFonts w:cs="Arial"/>
                <w:b/>
              </w:rPr>
              <w:t xml:space="preserve">Razina: </w:t>
            </w:r>
            <w:r>
              <w:rPr>
                <w:rFonts w:cs="Arial"/>
              </w:rPr>
              <w:t>21</w:t>
            </w:r>
          </w:p>
        </w:tc>
        <w:tc>
          <w:tcPr>
            <w:tcW w:w="4609" w:type="dxa"/>
          </w:tcPr>
          <w:p w14:paraId="2EF94E1F" w14:textId="77777777" w:rsidR="00C50A06" w:rsidRPr="005C2C5A" w:rsidRDefault="00C50A06" w:rsidP="002769FD">
            <w:pPr>
              <w:rPr>
                <w:rFonts w:cs="Arial"/>
              </w:rPr>
            </w:pPr>
            <w:r>
              <w:rPr>
                <w:rFonts w:cs="Arial"/>
                <w:b/>
              </w:rPr>
              <w:t xml:space="preserve">OIB: </w:t>
            </w:r>
            <w:r>
              <w:rPr>
                <w:rFonts w:cs="Arial"/>
              </w:rPr>
              <w:t>62056168103</w:t>
            </w:r>
          </w:p>
        </w:tc>
      </w:tr>
      <w:tr w:rsidR="00C50A06" w:rsidRPr="00044BBD" w14:paraId="2C0AC203" w14:textId="77777777" w:rsidTr="002769FD">
        <w:tc>
          <w:tcPr>
            <w:tcW w:w="5353" w:type="dxa"/>
          </w:tcPr>
          <w:p w14:paraId="28C5B8B6" w14:textId="77777777" w:rsidR="00C50A06" w:rsidRPr="005C2C5A" w:rsidRDefault="00C50A06" w:rsidP="002769FD">
            <w:pPr>
              <w:rPr>
                <w:rFonts w:cs="Arial"/>
              </w:rPr>
            </w:pPr>
            <w:r>
              <w:rPr>
                <w:rFonts w:cs="Arial"/>
                <w:b/>
              </w:rPr>
              <w:t>Razdjel:</w:t>
            </w:r>
            <w:r>
              <w:rPr>
                <w:rFonts w:cs="Arial"/>
              </w:rPr>
              <w:t xml:space="preserve"> 0</w:t>
            </w:r>
          </w:p>
        </w:tc>
        <w:tc>
          <w:tcPr>
            <w:tcW w:w="4609" w:type="dxa"/>
          </w:tcPr>
          <w:p w14:paraId="444BD3D7" w14:textId="77777777" w:rsidR="00C50A06" w:rsidRPr="005C2C5A" w:rsidRDefault="00C50A06" w:rsidP="002769FD">
            <w:pPr>
              <w:rPr>
                <w:rFonts w:cs="Arial"/>
              </w:rPr>
            </w:pPr>
            <w:r>
              <w:rPr>
                <w:rFonts w:cs="Arial"/>
                <w:b/>
              </w:rPr>
              <w:t xml:space="preserve">Šifra djelatnosti prema NKD-u 2007.: </w:t>
            </w:r>
            <w:r>
              <w:rPr>
                <w:rFonts w:cs="Arial"/>
              </w:rPr>
              <w:t>7022</w:t>
            </w:r>
          </w:p>
        </w:tc>
      </w:tr>
    </w:tbl>
    <w:p w14:paraId="33C1BDF0" w14:textId="77777777" w:rsidR="00C50A06" w:rsidRDefault="00C50A06" w:rsidP="00C50A06">
      <w:pPr>
        <w:spacing w:line="240" w:lineRule="auto"/>
        <w:jc w:val="center"/>
        <w:rPr>
          <w:rFonts w:cs="Arial"/>
          <w:b/>
          <w:sz w:val="32"/>
        </w:rPr>
      </w:pPr>
    </w:p>
    <w:p w14:paraId="2AA079A7" w14:textId="77777777" w:rsidR="00D8523D" w:rsidRPr="009205D4" w:rsidRDefault="00C50A06" w:rsidP="00D8523D">
      <w:pPr>
        <w:spacing w:line="240" w:lineRule="auto"/>
        <w:jc w:val="center"/>
        <w:rPr>
          <w:rFonts w:cs="Arial"/>
          <w:b/>
          <w:sz w:val="32"/>
        </w:rPr>
      </w:pPr>
      <w:r w:rsidRPr="009205D4">
        <w:rPr>
          <w:rFonts w:cs="Arial"/>
          <w:b/>
          <w:sz w:val="32"/>
        </w:rPr>
        <w:t>BILJEŠKE</w:t>
      </w:r>
      <w:r w:rsidR="00D8523D" w:rsidRPr="009205D4">
        <w:rPr>
          <w:rFonts w:cs="Arial"/>
          <w:b/>
          <w:sz w:val="32"/>
        </w:rPr>
        <w:t xml:space="preserve"> UZ FINANCIJSKE IZVJEŠTAJE </w:t>
      </w:r>
    </w:p>
    <w:p w14:paraId="6967D0DC" w14:textId="77777777" w:rsidR="00D8523D" w:rsidRPr="00D8523D" w:rsidRDefault="00D8523D" w:rsidP="00D8523D">
      <w:pPr>
        <w:spacing w:line="240" w:lineRule="auto"/>
        <w:jc w:val="center"/>
        <w:rPr>
          <w:rFonts w:cs="Arial"/>
          <w:b/>
          <w:sz w:val="28"/>
        </w:rPr>
      </w:pPr>
      <w:r w:rsidRPr="00D8523D">
        <w:rPr>
          <w:rFonts w:cs="Arial"/>
          <w:b/>
          <w:sz w:val="28"/>
        </w:rPr>
        <w:t>VIDRA-Agencije za regionalni razvoj Virovitičko-podravske županije</w:t>
      </w:r>
    </w:p>
    <w:p w14:paraId="4EC475EB" w14:textId="6C053AD3" w:rsidR="00C50A06" w:rsidRPr="00D8523D" w:rsidRDefault="00D8523D" w:rsidP="00D8523D">
      <w:pPr>
        <w:spacing w:line="240" w:lineRule="auto"/>
        <w:jc w:val="center"/>
        <w:rPr>
          <w:rFonts w:cs="Arial"/>
          <w:b/>
          <w:sz w:val="28"/>
        </w:rPr>
      </w:pPr>
      <w:r w:rsidRPr="00D8523D">
        <w:rPr>
          <w:rFonts w:cs="Arial"/>
          <w:b/>
          <w:sz w:val="28"/>
        </w:rPr>
        <w:t>za razdoblje od</w:t>
      </w:r>
      <w:r w:rsidR="00396973">
        <w:rPr>
          <w:rFonts w:cs="Arial"/>
          <w:b/>
          <w:sz w:val="28"/>
        </w:rPr>
        <w:t xml:space="preserve"> 1.01. do 31</w:t>
      </w:r>
      <w:r w:rsidR="00C50A06" w:rsidRPr="00D8523D">
        <w:rPr>
          <w:rFonts w:cs="Arial"/>
          <w:b/>
          <w:sz w:val="28"/>
        </w:rPr>
        <w:t>.</w:t>
      </w:r>
      <w:r w:rsidR="00396973">
        <w:rPr>
          <w:rFonts w:cs="Arial"/>
          <w:b/>
          <w:sz w:val="28"/>
        </w:rPr>
        <w:t>12</w:t>
      </w:r>
      <w:r w:rsidR="00C50A06" w:rsidRPr="00D8523D">
        <w:rPr>
          <w:rFonts w:cs="Arial"/>
          <w:b/>
          <w:sz w:val="28"/>
        </w:rPr>
        <w:t>.20</w:t>
      </w:r>
      <w:r w:rsidR="00382E0F">
        <w:rPr>
          <w:rFonts w:cs="Arial"/>
          <w:b/>
          <w:sz w:val="28"/>
        </w:rPr>
        <w:t>2</w:t>
      </w:r>
      <w:r w:rsidR="00320CFD">
        <w:rPr>
          <w:rFonts w:cs="Arial"/>
          <w:b/>
          <w:sz w:val="28"/>
        </w:rPr>
        <w:t>1</w:t>
      </w:r>
      <w:r w:rsidR="002D7559">
        <w:rPr>
          <w:rFonts w:cs="Arial"/>
          <w:b/>
          <w:sz w:val="28"/>
        </w:rPr>
        <w:t>. godine</w:t>
      </w:r>
    </w:p>
    <w:p w14:paraId="61EC84B9" w14:textId="77777777" w:rsidR="009E36E3" w:rsidRDefault="009E36E3" w:rsidP="009E36E3">
      <w:pPr>
        <w:spacing w:line="240" w:lineRule="auto"/>
        <w:rPr>
          <w:rFonts w:cs="Arial"/>
          <w:b/>
          <w:sz w:val="24"/>
        </w:rPr>
      </w:pPr>
    </w:p>
    <w:p w14:paraId="49AC8A91" w14:textId="77777777" w:rsidR="00D8523D" w:rsidRPr="009E36E3" w:rsidRDefault="009E36E3" w:rsidP="009E36E3">
      <w:pPr>
        <w:spacing w:line="240" w:lineRule="auto"/>
        <w:rPr>
          <w:rFonts w:cs="Arial"/>
          <w:b/>
          <w:sz w:val="24"/>
          <w:u w:val="single"/>
        </w:rPr>
      </w:pPr>
      <w:r w:rsidRPr="009E36E3">
        <w:rPr>
          <w:rFonts w:cs="Arial"/>
          <w:b/>
          <w:sz w:val="24"/>
          <w:u w:val="single"/>
        </w:rPr>
        <w:t>Bilješke uz Obrazac: Izvještaj o prihodima i rashodima, primicima i izdacima</w:t>
      </w:r>
    </w:p>
    <w:p w14:paraId="7B4CC2F3" w14:textId="77777777" w:rsidR="00B254BB" w:rsidRDefault="00B254BB" w:rsidP="00B254BB">
      <w:pPr>
        <w:spacing w:line="240" w:lineRule="auto"/>
        <w:jc w:val="both"/>
        <w:rPr>
          <w:rFonts w:cs="Arial"/>
          <w:b/>
        </w:rPr>
      </w:pPr>
      <w:r>
        <w:rPr>
          <w:rFonts w:cs="Arial"/>
          <w:b/>
        </w:rPr>
        <w:t>Bilješka broj 1 – vezana uz AOP</w:t>
      </w:r>
      <w:r w:rsidR="000B5283">
        <w:rPr>
          <w:rFonts w:cs="Arial"/>
          <w:b/>
        </w:rPr>
        <w:t xml:space="preserve"> 001</w:t>
      </w:r>
    </w:p>
    <w:p w14:paraId="0EF17D75" w14:textId="44D7F4BB" w:rsidR="00D54838" w:rsidRDefault="00BD46F1" w:rsidP="00B254BB">
      <w:pPr>
        <w:spacing w:line="240" w:lineRule="auto"/>
        <w:jc w:val="both"/>
        <w:rPr>
          <w:rFonts w:cs="Arial"/>
          <w:b/>
        </w:rPr>
      </w:pPr>
      <w:r>
        <w:rPr>
          <w:rFonts w:cs="Arial"/>
        </w:rPr>
        <w:t>Prihodi poslovanja tijekom 20</w:t>
      </w:r>
      <w:r w:rsidR="002D3DA2">
        <w:rPr>
          <w:rFonts w:cs="Arial"/>
        </w:rPr>
        <w:t>2</w:t>
      </w:r>
      <w:r w:rsidR="00D54838">
        <w:rPr>
          <w:rFonts w:cs="Arial"/>
        </w:rPr>
        <w:t>1</w:t>
      </w:r>
      <w:r>
        <w:rPr>
          <w:rFonts w:cs="Arial"/>
        </w:rPr>
        <w:t xml:space="preserve">. godine ostvareni su u iznosu </w:t>
      </w:r>
      <w:r w:rsidR="00D54838">
        <w:rPr>
          <w:rFonts w:cs="Arial"/>
        </w:rPr>
        <w:t>6.124.123</w:t>
      </w:r>
      <w:r>
        <w:rPr>
          <w:rFonts w:cs="Arial"/>
        </w:rPr>
        <w:t xml:space="preserve"> kuna što je </w:t>
      </w:r>
      <w:r w:rsidR="00D54838">
        <w:rPr>
          <w:rFonts w:cs="Arial"/>
        </w:rPr>
        <w:t>7,00</w:t>
      </w:r>
      <w:r w:rsidR="002D3DA2">
        <w:rPr>
          <w:rFonts w:cs="Arial"/>
        </w:rPr>
        <w:t xml:space="preserve">% </w:t>
      </w:r>
      <w:r w:rsidR="00D54838">
        <w:rPr>
          <w:rFonts w:cs="Arial"/>
        </w:rPr>
        <w:t xml:space="preserve">više </w:t>
      </w:r>
      <w:r w:rsidR="00D54838">
        <w:rPr>
          <w:rFonts w:cs="Arial"/>
        </w:rPr>
        <w:t xml:space="preserve">ostvarenih prihoda </w:t>
      </w:r>
      <w:r w:rsidR="00D54838">
        <w:rPr>
          <w:rFonts w:cs="Arial"/>
        </w:rPr>
        <w:t>u odnosu na prethodnu godinu</w:t>
      </w:r>
      <w:r w:rsidR="00D54838">
        <w:rPr>
          <w:rFonts w:cs="Arial"/>
        </w:rPr>
        <w:t>.</w:t>
      </w:r>
      <w:r w:rsidR="00D54838">
        <w:rPr>
          <w:rFonts w:cs="Arial"/>
          <w:b/>
        </w:rPr>
        <w:t xml:space="preserve"> </w:t>
      </w:r>
    </w:p>
    <w:p w14:paraId="6F8BEDD6" w14:textId="0D263CA7" w:rsidR="000B5283" w:rsidRDefault="00E559E9" w:rsidP="00B254BB">
      <w:pPr>
        <w:spacing w:line="240" w:lineRule="auto"/>
        <w:jc w:val="both"/>
        <w:rPr>
          <w:rFonts w:cs="Arial"/>
          <w:b/>
        </w:rPr>
      </w:pPr>
      <w:r>
        <w:rPr>
          <w:rFonts w:cs="Arial"/>
          <w:b/>
        </w:rPr>
        <w:t xml:space="preserve">Bilješka broj 2 – vezana uz AOP </w:t>
      </w:r>
      <w:r w:rsidR="006B420F">
        <w:rPr>
          <w:rFonts w:cs="Arial"/>
          <w:b/>
        </w:rPr>
        <w:t>045</w:t>
      </w:r>
    </w:p>
    <w:p w14:paraId="663013B7" w14:textId="555F12D7" w:rsidR="00491506" w:rsidRDefault="00491506" w:rsidP="00B254BB">
      <w:pPr>
        <w:spacing w:line="240" w:lineRule="auto"/>
        <w:jc w:val="both"/>
        <w:rPr>
          <w:rFonts w:cs="Arial"/>
        </w:rPr>
      </w:pPr>
      <w:r>
        <w:rPr>
          <w:rFonts w:cs="Arial"/>
        </w:rPr>
        <w:t xml:space="preserve">Pomoći iz inozemstva i od subjekata unutar općeg proračuna ostvareni su u iznosu </w:t>
      </w:r>
      <w:r w:rsidR="00D54838">
        <w:rPr>
          <w:rFonts w:cs="Arial"/>
        </w:rPr>
        <w:t>4.074.074</w:t>
      </w:r>
      <w:r>
        <w:rPr>
          <w:rFonts w:cs="Arial"/>
        </w:rPr>
        <w:t xml:space="preserve"> kun</w:t>
      </w:r>
      <w:r w:rsidR="002D3DA2">
        <w:rPr>
          <w:rFonts w:cs="Arial"/>
        </w:rPr>
        <w:t>a</w:t>
      </w:r>
      <w:r>
        <w:rPr>
          <w:rFonts w:cs="Arial"/>
        </w:rPr>
        <w:t xml:space="preserve"> što je </w:t>
      </w:r>
      <w:r w:rsidR="00D54838">
        <w:rPr>
          <w:rFonts w:cs="Arial"/>
        </w:rPr>
        <w:t>36,9</w:t>
      </w:r>
      <w:r w:rsidR="002D3DA2">
        <w:rPr>
          <w:rFonts w:cs="Arial"/>
        </w:rPr>
        <w:t>% više u odnosu na prethodnu godinu.</w:t>
      </w:r>
    </w:p>
    <w:p w14:paraId="5CA794A5" w14:textId="6B3AB360" w:rsidR="00BE4341" w:rsidRPr="00BC515F" w:rsidRDefault="00491506" w:rsidP="00B254BB">
      <w:pPr>
        <w:spacing w:line="240" w:lineRule="auto"/>
        <w:jc w:val="both"/>
        <w:rPr>
          <w:rFonts w:cs="Arial"/>
        </w:rPr>
      </w:pPr>
      <w:r>
        <w:rPr>
          <w:rFonts w:cs="Arial"/>
        </w:rPr>
        <w:t>Ove prihode VIDRA-Agencija za regionalni razvoj Virovitičko-podravske županije ostvar</w:t>
      </w:r>
      <w:r w:rsidR="002D3DA2">
        <w:rPr>
          <w:rFonts w:cs="Arial"/>
        </w:rPr>
        <w:t>ila je</w:t>
      </w:r>
      <w:r>
        <w:rPr>
          <w:rFonts w:cs="Arial"/>
        </w:rPr>
        <w:t xml:space="preserve"> temeljem projekata u provedbi i provedenih projekata. Tijekom 20</w:t>
      </w:r>
      <w:r w:rsidR="002D3DA2">
        <w:rPr>
          <w:rFonts w:cs="Arial"/>
        </w:rPr>
        <w:t>2</w:t>
      </w:r>
      <w:r w:rsidR="00D54838">
        <w:rPr>
          <w:rFonts w:cs="Arial"/>
        </w:rPr>
        <w:t>1</w:t>
      </w:r>
      <w:r>
        <w:rPr>
          <w:rFonts w:cs="Arial"/>
        </w:rPr>
        <w:t>. godine ostvareni su prihodi za projekt Europe Direct koji se provodio tijekom cijele 20</w:t>
      </w:r>
      <w:r w:rsidR="002D3DA2">
        <w:rPr>
          <w:rFonts w:cs="Arial"/>
        </w:rPr>
        <w:t>20</w:t>
      </w:r>
      <w:r>
        <w:rPr>
          <w:rFonts w:cs="Arial"/>
        </w:rPr>
        <w:t>. godine</w:t>
      </w:r>
      <w:r w:rsidR="00D54838">
        <w:rPr>
          <w:rFonts w:cs="Arial"/>
        </w:rPr>
        <w:t xml:space="preserve"> te je završna uplata doznačena u 2021. godini u iznosu od </w:t>
      </w:r>
      <w:r w:rsidR="00777754" w:rsidRPr="00777754">
        <w:rPr>
          <w:rFonts w:cs="Arial"/>
        </w:rPr>
        <w:t>49.648</w:t>
      </w:r>
      <w:r w:rsidR="00777754">
        <w:rPr>
          <w:rFonts w:cs="Arial"/>
        </w:rPr>
        <w:t xml:space="preserve"> kn</w:t>
      </w:r>
      <w:r w:rsidR="00ED09C3">
        <w:rPr>
          <w:rFonts w:cs="Arial"/>
        </w:rPr>
        <w:t>, B-Light</w:t>
      </w:r>
      <w:r w:rsidR="00777754">
        <w:rPr>
          <w:rFonts w:cs="Arial"/>
        </w:rPr>
        <w:t xml:space="preserve"> u iznosu 370.293 kn</w:t>
      </w:r>
      <w:r w:rsidR="001F77DB">
        <w:rPr>
          <w:rFonts w:cs="Arial"/>
        </w:rPr>
        <w:t>,</w:t>
      </w:r>
      <w:r w:rsidR="00ED09C3">
        <w:rPr>
          <w:rFonts w:cs="Arial"/>
        </w:rPr>
        <w:t xml:space="preserve"> </w:t>
      </w:r>
      <w:r w:rsidR="00777754">
        <w:rPr>
          <w:rFonts w:cs="Arial"/>
        </w:rPr>
        <w:t xml:space="preserve">isplata po završnom izvješću za projekt </w:t>
      </w:r>
      <w:r w:rsidR="00ED09C3">
        <w:rPr>
          <w:rFonts w:cs="Arial"/>
        </w:rPr>
        <w:t>Pozitivne vibracije</w:t>
      </w:r>
      <w:r w:rsidR="00777754">
        <w:rPr>
          <w:rFonts w:cs="Arial"/>
        </w:rPr>
        <w:t xml:space="preserve"> u iznosu od 51.286 kn.  </w:t>
      </w:r>
      <w:r>
        <w:rPr>
          <w:rFonts w:cs="Arial"/>
        </w:rPr>
        <w:t>Za projekt</w:t>
      </w:r>
      <w:r w:rsidR="00ED09C3">
        <w:rPr>
          <w:rFonts w:cs="Arial"/>
        </w:rPr>
        <w:t xml:space="preserve"> tehničke pomoći</w:t>
      </w:r>
      <w:r>
        <w:rPr>
          <w:rFonts w:cs="Arial"/>
        </w:rPr>
        <w:t xml:space="preserve"> VIDRA-TEC 2</w:t>
      </w:r>
      <w:r w:rsidR="001F77DB">
        <w:rPr>
          <w:rFonts w:cs="Arial"/>
        </w:rPr>
        <w:t xml:space="preserve"> </w:t>
      </w:r>
      <w:r w:rsidR="00777754">
        <w:rPr>
          <w:rFonts w:cs="Arial"/>
        </w:rPr>
        <w:t xml:space="preserve">doznačena su sredstva po odobrenim Zahtjevima za </w:t>
      </w:r>
      <w:r w:rsidR="001F77DB">
        <w:rPr>
          <w:rFonts w:cs="Arial"/>
        </w:rPr>
        <w:t>nadoknadu</w:t>
      </w:r>
      <w:r w:rsidR="00777754">
        <w:rPr>
          <w:rFonts w:cs="Arial"/>
        </w:rPr>
        <w:t xml:space="preserve"> sredstava br. 5., 6., 7. i 8. u ukupno iznosu od 3.473.423 kn</w:t>
      </w:r>
      <w:r>
        <w:rPr>
          <w:rFonts w:cs="Arial"/>
        </w:rPr>
        <w:t>.</w:t>
      </w:r>
      <w:r w:rsidR="00777754">
        <w:rPr>
          <w:rFonts w:cs="Arial"/>
        </w:rPr>
        <w:t xml:space="preserve"> Za projekt VIDRA-TEC 2 doznačena su sredstva od Fonda za sufinanciranje u iznosu od 129.</w:t>
      </w:r>
      <w:r w:rsidR="001F77DB">
        <w:rPr>
          <w:rFonts w:cs="Arial"/>
        </w:rPr>
        <w:t>424 kn.</w:t>
      </w:r>
    </w:p>
    <w:p w14:paraId="72B64014" w14:textId="19BE24AE" w:rsidR="006B420F" w:rsidRDefault="006B420F" w:rsidP="00B254BB">
      <w:pPr>
        <w:spacing w:line="240" w:lineRule="auto"/>
        <w:jc w:val="both"/>
        <w:rPr>
          <w:rFonts w:cs="Arial"/>
          <w:b/>
        </w:rPr>
      </w:pPr>
      <w:r>
        <w:rPr>
          <w:rFonts w:cs="Arial"/>
          <w:b/>
        </w:rPr>
        <w:t>Bil</w:t>
      </w:r>
      <w:r w:rsidR="00BE4341">
        <w:rPr>
          <w:rFonts w:cs="Arial"/>
          <w:b/>
        </w:rPr>
        <w:t>ješka broj 3 – vezana uz AOP 06</w:t>
      </w:r>
      <w:r w:rsidR="001F77DB">
        <w:rPr>
          <w:rFonts w:cs="Arial"/>
          <w:b/>
        </w:rPr>
        <w:t>9</w:t>
      </w:r>
    </w:p>
    <w:p w14:paraId="54C5416A" w14:textId="751E3080" w:rsidR="00BE4341" w:rsidRDefault="009641DA" w:rsidP="00B254BB">
      <w:pPr>
        <w:spacing w:line="240" w:lineRule="auto"/>
        <w:jc w:val="both"/>
        <w:rPr>
          <w:rFonts w:cs="Arial"/>
        </w:rPr>
      </w:pPr>
      <w:r>
        <w:rPr>
          <w:rFonts w:cs="Arial"/>
        </w:rPr>
        <w:t xml:space="preserve">Tekuće pomoći </w:t>
      </w:r>
      <w:r w:rsidR="00BE4341">
        <w:rPr>
          <w:rFonts w:cs="Arial"/>
        </w:rPr>
        <w:t xml:space="preserve">temeljem prijenosa EU sredstava ostvarene su u iznosu </w:t>
      </w:r>
      <w:r w:rsidR="001F77DB">
        <w:rPr>
          <w:rFonts w:cs="Arial"/>
        </w:rPr>
        <w:t>3.895.002</w:t>
      </w:r>
      <w:r w:rsidR="00BE4341">
        <w:rPr>
          <w:rFonts w:cs="Arial"/>
        </w:rPr>
        <w:t xml:space="preserve"> kuna što je </w:t>
      </w:r>
      <w:r w:rsidR="001F77DB">
        <w:rPr>
          <w:rFonts w:cs="Arial"/>
        </w:rPr>
        <w:t>39,8</w:t>
      </w:r>
      <w:r w:rsidR="00BE4341">
        <w:rPr>
          <w:rFonts w:cs="Arial"/>
        </w:rPr>
        <w:t>% više  nego prethodne godine.</w:t>
      </w:r>
    </w:p>
    <w:p w14:paraId="2E6B6CFB" w14:textId="1D326F0D" w:rsidR="0083556C" w:rsidRDefault="009641DA" w:rsidP="00B254BB">
      <w:pPr>
        <w:spacing w:line="240" w:lineRule="auto"/>
        <w:jc w:val="both"/>
        <w:rPr>
          <w:rFonts w:cs="Arial"/>
        </w:rPr>
      </w:pPr>
      <w:r>
        <w:rPr>
          <w:rFonts w:cs="Arial"/>
        </w:rPr>
        <w:t>Iznos ostvarenih prihoda na ovom kontu ovisi o brzini odobrenja Zahtjeva za nadoknadu sredstava i uplata od strane kontrolnih tijela.</w:t>
      </w:r>
    </w:p>
    <w:p w14:paraId="32DB0CFB" w14:textId="4577AF4A" w:rsidR="001F77DB" w:rsidRDefault="001F77DB" w:rsidP="00B254BB">
      <w:pPr>
        <w:spacing w:line="240" w:lineRule="auto"/>
        <w:jc w:val="both"/>
        <w:rPr>
          <w:rFonts w:cs="Arial"/>
        </w:rPr>
      </w:pPr>
      <w:r>
        <w:rPr>
          <w:rFonts w:cs="Arial"/>
        </w:rPr>
        <w:t>Tijekom 2021. godine ostvareni su prihodi za projekt B-Light u iznosu 370.293 kn</w:t>
      </w:r>
      <w:r>
        <w:rPr>
          <w:rFonts w:cs="Arial"/>
        </w:rPr>
        <w:t>,</w:t>
      </w:r>
      <w:r>
        <w:rPr>
          <w:rFonts w:cs="Arial"/>
        </w:rPr>
        <w:t xml:space="preserve"> isplata po završnom izvješću za projekt Pozitivne vibracije u iznosu od 51.286 kn.  Za projekt tehničke pomoći VIDRA-TEC 2 doznačena su sredstva po odobrenim Zahtjevima za nadoknadu sredstava br. 5., 6., 7. i 8. u ukupno iznosu od 3.473.423 kn.</w:t>
      </w:r>
    </w:p>
    <w:p w14:paraId="4C889776" w14:textId="702D69E1" w:rsidR="004B4393" w:rsidRDefault="004B4393"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16601C">
        <w:rPr>
          <w:rFonts w:ascii="Calibri" w:eastAsia="Calibri" w:hAnsi="Calibri" w:cs="Calibri"/>
          <w:b/>
        </w:rPr>
        <w:t>4</w:t>
      </w:r>
      <w:r w:rsidR="00F20EA1">
        <w:rPr>
          <w:rFonts w:ascii="Calibri" w:eastAsia="Calibri" w:hAnsi="Calibri" w:cs="Calibri"/>
          <w:b/>
        </w:rPr>
        <w:t xml:space="preserve"> – vezana uz AOP 074</w:t>
      </w:r>
    </w:p>
    <w:p w14:paraId="2F277A09" w14:textId="100E71EC" w:rsidR="00F20EA1" w:rsidRDefault="00F20EA1" w:rsidP="00B254BB">
      <w:pPr>
        <w:spacing w:line="240" w:lineRule="auto"/>
        <w:jc w:val="both"/>
        <w:rPr>
          <w:rFonts w:ascii="Calibri" w:eastAsia="Calibri" w:hAnsi="Calibri" w:cs="Calibri"/>
        </w:rPr>
      </w:pPr>
      <w:r>
        <w:rPr>
          <w:rFonts w:ascii="Calibri" w:eastAsia="Calibri" w:hAnsi="Calibri" w:cs="Calibri"/>
        </w:rPr>
        <w:t xml:space="preserve">Prihodi od imovine ostvareni su u iznosu </w:t>
      </w:r>
      <w:r w:rsidR="0016601C">
        <w:rPr>
          <w:rFonts w:ascii="Calibri" w:eastAsia="Calibri" w:hAnsi="Calibri" w:cs="Calibri"/>
        </w:rPr>
        <w:t>195</w:t>
      </w:r>
      <w:r>
        <w:rPr>
          <w:rFonts w:ascii="Calibri" w:eastAsia="Calibri" w:hAnsi="Calibri" w:cs="Calibri"/>
        </w:rPr>
        <w:t xml:space="preserve"> kuna</w:t>
      </w:r>
      <w:r w:rsidR="00727FC8">
        <w:rPr>
          <w:rFonts w:ascii="Calibri" w:eastAsia="Calibri" w:hAnsi="Calibri" w:cs="Calibri"/>
        </w:rPr>
        <w:t xml:space="preserve"> što je </w:t>
      </w:r>
      <w:r w:rsidR="0016601C">
        <w:rPr>
          <w:rFonts w:ascii="Calibri" w:eastAsia="Calibri" w:hAnsi="Calibri" w:cs="Calibri"/>
        </w:rPr>
        <w:t>1,7</w:t>
      </w:r>
      <w:r w:rsidR="00727FC8">
        <w:rPr>
          <w:rFonts w:ascii="Calibri" w:eastAsia="Calibri" w:hAnsi="Calibri" w:cs="Calibri"/>
        </w:rPr>
        <w:t xml:space="preserve">% </w:t>
      </w:r>
      <w:r w:rsidR="0016601C">
        <w:rPr>
          <w:rFonts w:ascii="Calibri" w:eastAsia="Calibri" w:hAnsi="Calibri" w:cs="Calibri"/>
        </w:rPr>
        <w:t>prihoda od</w:t>
      </w:r>
      <w:r w:rsidR="00727FC8">
        <w:rPr>
          <w:rFonts w:ascii="Calibri" w:eastAsia="Calibri" w:hAnsi="Calibri" w:cs="Calibri"/>
        </w:rPr>
        <w:t xml:space="preserve"> prošl</w:t>
      </w:r>
      <w:r w:rsidR="0016601C">
        <w:rPr>
          <w:rFonts w:ascii="Calibri" w:eastAsia="Calibri" w:hAnsi="Calibri" w:cs="Calibri"/>
        </w:rPr>
        <w:t>e</w:t>
      </w:r>
      <w:r w:rsidR="00727FC8">
        <w:rPr>
          <w:rFonts w:ascii="Calibri" w:eastAsia="Calibri" w:hAnsi="Calibri" w:cs="Calibri"/>
        </w:rPr>
        <w:t xml:space="preserve"> godin</w:t>
      </w:r>
      <w:r w:rsidR="0016601C">
        <w:rPr>
          <w:rFonts w:ascii="Calibri" w:eastAsia="Calibri" w:hAnsi="Calibri" w:cs="Calibri"/>
        </w:rPr>
        <w:t>e</w:t>
      </w:r>
      <w:r>
        <w:rPr>
          <w:rFonts w:ascii="Calibri" w:eastAsia="Calibri" w:hAnsi="Calibri" w:cs="Calibri"/>
        </w:rPr>
        <w:t xml:space="preserve"> i odnose se na pozitivne tečajne razlike po konačnoj konverziji eura</w:t>
      </w:r>
      <w:r w:rsidR="00E8658D">
        <w:rPr>
          <w:rFonts w:ascii="Calibri" w:eastAsia="Calibri" w:hAnsi="Calibri" w:cs="Calibri"/>
        </w:rPr>
        <w:t xml:space="preserve"> i manjim dijelom na prihode od kamata na depozite po viđenju.</w:t>
      </w:r>
    </w:p>
    <w:p w14:paraId="4A0AB6AD" w14:textId="16828E1D" w:rsidR="00E8658D" w:rsidRDefault="00E8658D" w:rsidP="00B254BB">
      <w:pPr>
        <w:spacing w:line="240" w:lineRule="auto"/>
        <w:jc w:val="both"/>
        <w:rPr>
          <w:rFonts w:ascii="Calibri" w:eastAsia="Calibri" w:hAnsi="Calibri" w:cs="Calibri"/>
          <w:b/>
          <w:bCs/>
        </w:rPr>
      </w:pPr>
      <w:r>
        <w:rPr>
          <w:rFonts w:ascii="Calibri" w:eastAsia="Calibri" w:hAnsi="Calibri" w:cs="Calibri"/>
          <w:b/>
          <w:bCs/>
        </w:rPr>
        <w:t xml:space="preserve">Bilješka broj </w:t>
      </w:r>
      <w:r w:rsidR="0016601C">
        <w:rPr>
          <w:rFonts w:ascii="Calibri" w:eastAsia="Calibri" w:hAnsi="Calibri" w:cs="Calibri"/>
          <w:b/>
          <w:bCs/>
        </w:rPr>
        <w:t>5</w:t>
      </w:r>
      <w:r>
        <w:rPr>
          <w:rFonts w:ascii="Calibri" w:eastAsia="Calibri" w:hAnsi="Calibri" w:cs="Calibri"/>
          <w:b/>
          <w:bCs/>
        </w:rPr>
        <w:t xml:space="preserve"> – vezana uz AOP 10</w:t>
      </w:r>
      <w:r w:rsidR="0016601C">
        <w:rPr>
          <w:rFonts w:ascii="Calibri" w:eastAsia="Calibri" w:hAnsi="Calibri" w:cs="Calibri"/>
          <w:b/>
          <w:bCs/>
        </w:rPr>
        <w:t>1</w:t>
      </w:r>
    </w:p>
    <w:p w14:paraId="11871052" w14:textId="481C8CBC" w:rsidR="0016601C" w:rsidRDefault="00E8658D" w:rsidP="00B254BB">
      <w:pPr>
        <w:spacing w:line="240" w:lineRule="auto"/>
        <w:jc w:val="both"/>
        <w:rPr>
          <w:rFonts w:ascii="Calibri" w:eastAsia="Calibri" w:hAnsi="Calibri" w:cs="Calibri"/>
        </w:rPr>
      </w:pPr>
      <w:r>
        <w:rPr>
          <w:rFonts w:ascii="Calibri" w:eastAsia="Calibri" w:hAnsi="Calibri" w:cs="Calibri"/>
        </w:rPr>
        <w:t xml:space="preserve">Prihodi </w:t>
      </w:r>
      <w:r w:rsidR="0016601C">
        <w:rPr>
          <w:rFonts w:ascii="Calibri" w:eastAsia="Calibri" w:hAnsi="Calibri" w:cs="Calibri"/>
        </w:rPr>
        <w:t>od upravnih i administrativnih pristojbi, pristojbi po posebnim propisima i naknada</w:t>
      </w:r>
      <w:r>
        <w:rPr>
          <w:rFonts w:ascii="Calibri" w:eastAsia="Calibri" w:hAnsi="Calibri" w:cs="Calibri"/>
        </w:rPr>
        <w:t xml:space="preserve"> ostvareni su u iznosu </w:t>
      </w:r>
      <w:r w:rsidR="0016601C">
        <w:rPr>
          <w:rFonts w:ascii="Calibri" w:eastAsia="Calibri" w:hAnsi="Calibri" w:cs="Calibri"/>
        </w:rPr>
        <w:t>2.534</w:t>
      </w:r>
      <w:r>
        <w:rPr>
          <w:rFonts w:ascii="Calibri" w:eastAsia="Calibri" w:hAnsi="Calibri" w:cs="Calibri"/>
        </w:rPr>
        <w:t xml:space="preserve"> kun</w:t>
      </w:r>
      <w:r w:rsidR="0016601C">
        <w:rPr>
          <w:rFonts w:ascii="Calibri" w:eastAsia="Calibri" w:hAnsi="Calibri" w:cs="Calibri"/>
        </w:rPr>
        <w:t>e</w:t>
      </w:r>
      <w:r>
        <w:rPr>
          <w:rFonts w:ascii="Calibri" w:eastAsia="Calibri" w:hAnsi="Calibri" w:cs="Calibri"/>
        </w:rPr>
        <w:t xml:space="preserve"> i odnose se na </w:t>
      </w:r>
      <w:r w:rsidR="0016601C">
        <w:rPr>
          <w:rFonts w:ascii="Calibri" w:eastAsia="Calibri" w:hAnsi="Calibri" w:cs="Calibri"/>
        </w:rPr>
        <w:t>p</w:t>
      </w:r>
      <w:r w:rsidR="0016601C">
        <w:rPr>
          <w:rFonts w:ascii="Calibri" w:eastAsia="Calibri" w:hAnsi="Calibri" w:cs="Calibri"/>
        </w:rPr>
        <w:t>rihod</w:t>
      </w:r>
      <w:r w:rsidR="0016601C">
        <w:rPr>
          <w:rFonts w:ascii="Calibri" w:eastAsia="Calibri" w:hAnsi="Calibri" w:cs="Calibri"/>
        </w:rPr>
        <w:t>e</w:t>
      </w:r>
      <w:r w:rsidR="0016601C">
        <w:rPr>
          <w:rFonts w:ascii="Calibri" w:eastAsia="Calibri" w:hAnsi="Calibri" w:cs="Calibri"/>
        </w:rPr>
        <w:t xml:space="preserve"> na temelju refundacija </w:t>
      </w:r>
      <w:r w:rsidR="00FE3735">
        <w:rPr>
          <w:rFonts w:ascii="Calibri" w:eastAsia="Calibri" w:hAnsi="Calibri" w:cs="Calibri"/>
        </w:rPr>
        <w:t xml:space="preserve">rashoda </w:t>
      </w:r>
      <w:r w:rsidR="0016601C">
        <w:rPr>
          <w:rFonts w:ascii="Calibri" w:eastAsia="Calibri" w:hAnsi="Calibri" w:cs="Calibri"/>
        </w:rPr>
        <w:t>iz prethodnih godina</w:t>
      </w:r>
      <w:r w:rsidR="0016601C">
        <w:rPr>
          <w:rFonts w:ascii="Calibri" w:eastAsia="Calibri" w:hAnsi="Calibri" w:cs="Calibri"/>
        </w:rPr>
        <w:t>.</w:t>
      </w:r>
      <w:r w:rsidR="0016601C">
        <w:rPr>
          <w:rFonts w:ascii="Calibri" w:eastAsia="Calibri" w:hAnsi="Calibri" w:cs="Calibri"/>
        </w:rPr>
        <w:t xml:space="preserve"> </w:t>
      </w:r>
    </w:p>
    <w:p w14:paraId="188181E4" w14:textId="197CDEBA"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9D7553">
        <w:rPr>
          <w:rFonts w:ascii="Calibri" w:eastAsia="Calibri" w:hAnsi="Calibri" w:cs="Calibri"/>
          <w:b/>
        </w:rPr>
        <w:t>6</w:t>
      </w:r>
      <w:r w:rsidR="00F20EA1">
        <w:rPr>
          <w:rFonts w:ascii="Calibri" w:eastAsia="Calibri" w:hAnsi="Calibri" w:cs="Calibri"/>
          <w:b/>
        </w:rPr>
        <w:t xml:space="preserve"> – vezana uz AOP 1</w:t>
      </w:r>
      <w:r w:rsidR="00D67765">
        <w:rPr>
          <w:rFonts w:ascii="Calibri" w:eastAsia="Calibri" w:hAnsi="Calibri" w:cs="Calibri"/>
          <w:b/>
        </w:rPr>
        <w:t>19</w:t>
      </w:r>
    </w:p>
    <w:p w14:paraId="3B60BA68" w14:textId="7B3CC4AA" w:rsidR="00F20EA1" w:rsidRDefault="00F20EA1" w:rsidP="00B254BB">
      <w:pPr>
        <w:spacing w:line="240" w:lineRule="auto"/>
        <w:jc w:val="both"/>
        <w:rPr>
          <w:rFonts w:ascii="Calibri" w:eastAsia="Calibri" w:hAnsi="Calibri" w:cs="Calibri"/>
        </w:rPr>
      </w:pPr>
      <w:r>
        <w:rPr>
          <w:rFonts w:ascii="Calibri" w:eastAsia="Calibri" w:hAnsi="Calibri" w:cs="Calibri"/>
        </w:rPr>
        <w:t>Prihodi od prodaje proizvoda i robe te pruženih usluga</w:t>
      </w:r>
      <w:r w:rsidR="00E8658D">
        <w:rPr>
          <w:rFonts w:ascii="Calibri" w:eastAsia="Calibri" w:hAnsi="Calibri" w:cs="Calibri"/>
        </w:rPr>
        <w:t xml:space="preserve"> i pr</w:t>
      </w:r>
      <w:r w:rsidR="00D67765">
        <w:rPr>
          <w:rFonts w:ascii="Calibri" w:eastAsia="Calibri" w:hAnsi="Calibri" w:cs="Calibri"/>
        </w:rPr>
        <w:t>i</w:t>
      </w:r>
      <w:r w:rsidR="00E8658D">
        <w:rPr>
          <w:rFonts w:ascii="Calibri" w:eastAsia="Calibri" w:hAnsi="Calibri" w:cs="Calibri"/>
        </w:rPr>
        <w:t>hodi od donacija</w:t>
      </w:r>
      <w:r>
        <w:rPr>
          <w:rFonts w:ascii="Calibri" w:eastAsia="Calibri" w:hAnsi="Calibri" w:cs="Calibri"/>
        </w:rPr>
        <w:t xml:space="preserve"> ostvareni su u iznosu </w:t>
      </w:r>
      <w:r w:rsidR="00D67765">
        <w:rPr>
          <w:rFonts w:ascii="Calibri" w:eastAsia="Calibri" w:hAnsi="Calibri" w:cs="Calibri"/>
        </w:rPr>
        <w:t>105.160</w:t>
      </w:r>
      <w:r>
        <w:rPr>
          <w:rFonts w:ascii="Calibri" w:eastAsia="Calibri" w:hAnsi="Calibri" w:cs="Calibri"/>
        </w:rPr>
        <w:t xml:space="preserve"> kun</w:t>
      </w:r>
      <w:r w:rsidR="00E8658D">
        <w:rPr>
          <w:rFonts w:ascii="Calibri" w:eastAsia="Calibri" w:hAnsi="Calibri" w:cs="Calibri"/>
        </w:rPr>
        <w:t>a</w:t>
      </w:r>
      <w:r>
        <w:rPr>
          <w:rFonts w:ascii="Calibri" w:eastAsia="Calibri" w:hAnsi="Calibri" w:cs="Calibri"/>
        </w:rPr>
        <w:t xml:space="preserve"> što je </w:t>
      </w:r>
      <w:r w:rsidR="00D67765">
        <w:rPr>
          <w:rFonts w:ascii="Calibri" w:eastAsia="Calibri" w:hAnsi="Calibri" w:cs="Calibri"/>
        </w:rPr>
        <w:t>74,6</w:t>
      </w:r>
      <w:r>
        <w:rPr>
          <w:rFonts w:ascii="Calibri" w:eastAsia="Calibri" w:hAnsi="Calibri" w:cs="Calibri"/>
        </w:rPr>
        <w:t xml:space="preserve">% </w:t>
      </w:r>
      <w:r w:rsidR="00E8658D">
        <w:rPr>
          <w:rFonts w:ascii="Calibri" w:eastAsia="Calibri" w:hAnsi="Calibri" w:cs="Calibri"/>
        </w:rPr>
        <w:t xml:space="preserve">prihoda </w:t>
      </w:r>
      <w:r>
        <w:rPr>
          <w:rFonts w:ascii="Calibri" w:eastAsia="Calibri" w:hAnsi="Calibri" w:cs="Calibri"/>
        </w:rPr>
        <w:t>ostvarenih</w:t>
      </w:r>
      <w:r w:rsidR="00E8658D">
        <w:rPr>
          <w:rFonts w:ascii="Calibri" w:eastAsia="Calibri" w:hAnsi="Calibri" w:cs="Calibri"/>
        </w:rPr>
        <w:t xml:space="preserve"> </w:t>
      </w:r>
      <w:r>
        <w:rPr>
          <w:rFonts w:ascii="Calibri" w:eastAsia="Calibri" w:hAnsi="Calibri" w:cs="Calibri"/>
        </w:rPr>
        <w:t xml:space="preserve">u prethodnoj godini. </w:t>
      </w:r>
      <w:r w:rsidR="00E8658D">
        <w:rPr>
          <w:rFonts w:ascii="Calibri" w:eastAsia="Calibri" w:hAnsi="Calibri" w:cs="Calibri"/>
        </w:rPr>
        <w:t>R</w:t>
      </w:r>
      <w:r>
        <w:rPr>
          <w:rFonts w:ascii="Calibri" w:eastAsia="Calibri" w:hAnsi="Calibri" w:cs="Calibri"/>
        </w:rPr>
        <w:t>azlika</w:t>
      </w:r>
      <w:r w:rsidR="00E8658D">
        <w:rPr>
          <w:rFonts w:ascii="Calibri" w:eastAsia="Calibri" w:hAnsi="Calibri" w:cs="Calibri"/>
        </w:rPr>
        <w:t xml:space="preserve"> u prihodima od pruženih usluga</w:t>
      </w:r>
      <w:r>
        <w:rPr>
          <w:rFonts w:ascii="Calibri" w:eastAsia="Calibri" w:hAnsi="Calibri" w:cs="Calibri"/>
        </w:rPr>
        <w:t xml:space="preserve"> odnos</w:t>
      </w:r>
      <w:r w:rsidR="00E8658D">
        <w:rPr>
          <w:rFonts w:ascii="Calibri" w:eastAsia="Calibri" w:hAnsi="Calibri" w:cs="Calibri"/>
        </w:rPr>
        <w:t>i</w:t>
      </w:r>
      <w:r>
        <w:rPr>
          <w:rFonts w:ascii="Calibri" w:eastAsia="Calibri" w:hAnsi="Calibri" w:cs="Calibri"/>
        </w:rPr>
        <w:t xml:space="preserve"> se primjenu Zakona o regionalnom razvoju temeljem kojeg VIDRA-Agencija za regionalni razvoj Virovitičko-podravske županije kao regionalni koordinator ne obavlja poslove tržišnih djelatnosti već je ostavljena mogućnost provedbe ugovorenih obveza do njihovog izvršenja, te se navedeni prihodi odnose na prihode po ranije sklopljenim ugovorima. </w:t>
      </w:r>
    </w:p>
    <w:p w14:paraId="08DBF290" w14:textId="1E74B569" w:rsidR="00C0782E" w:rsidRDefault="00C0782E" w:rsidP="00B254BB">
      <w:pPr>
        <w:spacing w:line="240" w:lineRule="auto"/>
        <w:jc w:val="both"/>
        <w:rPr>
          <w:rFonts w:ascii="Calibri" w:eastAsia="Calibri" w:hAnsi="Calibri" w:cs="Calibri"/>
          <w:b/>
        </w:rPr>
      </w:pPr>
      <w:r>
        <w:rPr>
          <w:rFonts w:ascii="Calibri" w:eastAsia="Calibri" w:hAnsi="Calibri" w:cs="Calibri"/>
          <w:b/>
        </w:rPr>
        <w:t>Bil</w:t>
      </w:r>
      <w:r w:rsidR="00F20EA1">
        <w:rPr>
          <w:rFonts w:ascii="Calibri" w:eastAsia="Calibri" w:hAnsi="Calibri" w:cs="Calibri"/>
          <w:b/>
        </w:rPr>
        <w:t xml:space="preserve">ješka broj </w:t>
      </w:r>
      <w:r w:rsidR="00D67765">
        <w:rPr>
          <w:rFonts w:ascii="Calibri" w:eastAsia="Calibri" w:hAnsi="Calibri" w:cs="Calibri"/>
          <w:b/>
        </w:rPr>
        <w:t>7</w:t>
      </w:r>
      <w:r w:rsidR="00F20EA1">
        <w:rPr>
          <w:rFonts w:ascii="Calibri" w:eastAsia="Calibri" w:hAnsi="Calibri" w:cs="Calibri"/>
          <w:b/>
        </w:rPr>
        <w:t xml:space="preserve"> – vezana uz AOP 1</w:t>
      </w:r>
      <w:r w:rsidR="00D67765">
        <w:rPr>
          <w:rFonts w:ascii="Calibri" w:eastAsia="Calibri" w:hAnsi="Calibri" w:cs="Calibri"/>
          <w:b/>
        </w:rPr>
        <w:t>28</w:t>
      </w:r>
    </w:p>
    <w:p w14:paraId="78F53C6D" w14:textId="22E9A10B" w:rsidR="00F20EA1" w:rsidRPr="00D67765" w:rsidRDefault="00D67765" w:rsidP="00B254BB">
      <w:pPr>
        <w:spacing w:line="240" w:lineRule="auto"/>
        <w:jc w:val="both"/>
        <w:rPr>
          <w:rFonts w:ascii="Calibri" w:eastAsia="Calibri" w:hAnsi="Calibri" w:cs="Calibri"/>
          <w:bCs/>
        </w:rPr>
      </w:pPr>
      <w:r w:rsidRPr="00D67765">
        <w:rPr>
          <w:rFonts w:ascii="Calibri" w:eastAsia="Calibri" w:hAnsi="Calibri" w:cs="Calibri"/>
          <w:bCs/>
        </w:rPr>
        <w:t xml:space="preserve">Prihodi iz nadležnog proračuna i od HZZO-a na temelju ugovornih obaveza iznose 1.942.160 i odnose se na prihode iz nadležnog proračuna za financiranje rashoda poslovanja u iznosu od 1.405.963 kune i </w:t>
      </w:r>
      <w:r>
        <w:rPr>
          <w:rFonts w:ascii="Calibri" w:eastAsia="Calibri" w:hAnsi="Calibri" w:cs="Calibri"/>
          <w:bCs/>
        </w:rPr>
        <w:t>p</w:t>
      </w:r>
      <w:r w:rsidR="00F20EA1" w:rsidRPr="00D67765">
        <w:rPr>
          <w:rFonts w:ascii="Calibri" w:eastAsia="Calibri" w:hAnsi="Calibri" w:cs="Calibri"/>
          <w:bCs/>
        </w:rPr>
        <w:t>rihod</w:t>
      </w:r>
      <w:r w:rsidRPr="00D67765">
        <w:rPr>
          <w:rFonts w:ascii="Calibri" w:eastAsia="Calibri" w:hAnsi="Calibri" w:cs="Calibri"/>
          <w:bCs/>
        </w:rPr>
        <w:t>a</w:t>
      </w:r>
      <w:r w:rsidR="00F20EA1" w:rsidRPr="00D67765">
        <w:rPr>
          <w:rFonts w:ascii="Calibri" w:eastAsia="Calibri" w:hAnsi="Calibri" w:cs="Calibri"/>
          <w:bCs/>
        </w:rPr>
        <w:t xml:space="preserve"> iz nadležnog proračuna za financiranje rashoda za nabavu nefinancijske imovine u iznosu </w:t>
      </w:r>
      <w:r w:rsidRPr="00D67765">
        <w:rPr>
          <w:rFonts w:ascii="Calibri" w:eastAsia="Calibri" w:hAnsi="Calibri" w:cs="Calibri"/>
          <w:bCs/>
        </w:rPr>
        <w:t>536.197</w:t>
      </w:r>
      <w:r w:rsidR="00F20EA1" w:rsidRPr="00D67765">
        <w:rPr>
          <w:rFonts w:ascii="Calibri" w:eastAsia="Calibri" w:hAnsi="Calibri" w:cs="Calibri"/>
          <w:bCs/>
        </w:rPr>
        <w:t xml:space="preserve"> kun</w:t>
      </w:r>
      <w:r w:rsidRPr="00D67765">
        <w:rPr>
          <w:rFonts w:ascii="Calibri" w:eastAsia="Calibri" w:hAnsi="Calibri" w:cs="Calibri"/>
          <w:bCs/>
        </w:rPr>
        <w:t>a</w:t>
      </w:r>
      <w:r w:rsidR="00F20EA1" w:rsidRPr="00D67765">
        <w:rPr>
          <w:rFonts w:ascii="Calibri" w:eastAsia="Calibri" w:hAnsi="Calibri" w:cs="Calibri"/>
          <w:bCs/>
        </w:rPr>
        <w:t xml:space="preserve"> budući </w:t>
      </w:r>
      <w:r w:rsidR="00547DB4">
        <w:rPr>
          <w:rFonts w:ascii="Calibri" w:eastAsia="Calibri" w:hAnsi="Calibri" w:cs="Calibri"/>
          <w:bCs/>
        </w:rPr>
        <w:t xml:space="preserve">da </w:t>
      </w:r>
      <w:r w:rsidR="00F20EA1" w:rsidRPr="00D67765">
        <w:rPr>
          <w:rFonts w:ascii="Calibri" w:eastAsia="Calibri" w:hAnsi="Calibri" w:cs="Calibri"/>
          <w:bCs/>
        </w:rPr>
        <w:t xml:space="preserve">je to vrijednost nefinancijske imovine koja je nabavljena sredstvima doznačenim od osnivača. </w:t>
      </w:r>
      <w:r w:rsidR="00C27DC8" w:rsidRPr="00D67765">
        <w:rPr>
          <w:rFonts w:ascii="Calibri" w:eastAsia="Calibri" w:hAnsi="Calibri" w:cs="Calibri"/>
          <w:bCs/>
        </w:rPr>
        <w:t>Sredstvima osnivača nabavaljena je sljedeća nefinancijska imovina:</w:t>
      </w:r>
      <w:r w:rsidRPr="00D67765">
        <w:rPr>
          <w:rFonts w:ascii="Calibri" w:eastAsia="Calibri" w:hAnsi="Calibri" w:cs="Calibri"/>
          <w:bCs/>
        </w:rPr>
        <w:t xml:space="preserve"> ulaganje na tuđoj imovini radi prava korištenja (sanacija podruma)</w:t>
      </w:r>
      <w:r w:rsidR="00C27DC8" w:rsidRPr="00D67765">
        <w:rPr>
          <w:rFonts w:ascii="Calibri" w:eastAsia="Calibri" w:hAnsi="Calibri" w:cs="Calibri"/>
          <w:bCs/>
        </w:rPr>
        <w:t xml:space="preserve">. </w:t>
      </w:r>
    </w:p>
    <w:p w14:paraId="731C11B0" w14:textId="18304B18" w:rsidR="00576131" w:rsidRDefault="00576131" w:rsidP="00B254BB">
      <w:pPr>
        <w:spacing w:line="240" w:lineRule="auto"/>
        <w:jc w:val="both"/>
        <w:rPr>
          <w:rFonts w:ascii="Calibri" w:eastAsia="Calibri" w:hAnsi="Calibri" w:cs="Calibri"/>
          <w:b/>
        </w:rPr>
      </w:pPr>
      <w:r>
        <w:rPr>
          <w:rFonts w:ascii="Calibri" w:eastAsia="Calibri" w:hAnsi="Calibri" w:cs="Calibri"/>
          <w:b/>
        </w:rPr>
        <w:t xml:space="preserve">Bilješka broj </w:t>
      </w:r>
      <w:r w:rsidR="00D67765">
        <w:rPr>
          <w:rFonts w:ascii="Calibri" w:eastAsia="Calibri" w:hAnsi="Calibri" w:cs="Calibri"/>
          <w:b/>
        </w:rPr>
        <w:t>8</w:t>
      </w:r>
      <w:r>
        <w:rPr>
          <w:rFonts w:ascii="Calibri" w:eastAsia="Calibri" w:hAnsi="Calibri" w:cs="Calibri"/>
          <w:b/>
        </w:rPr>
        <w:t xml:space="preserve"> – </w:t>
      </w:r>
      <w:r w:rsidR="001F3FE5">
        <w:rPr>
          <w:rFonts w:ascii="Calibri" w:eastAsia="Calibri" w:hAnsi="Calibri" w:cs="Calibri"/>
          <w:b/>
        </w:rPr>
        <w:t>vezana uz AOP 14</w:t>
      </w:r>
      <w:r w:rsidR="00547DB4">
        <w:rPr>
          <w:rFonts w:ascii="Calibri" w:eastAsia="Calibri" w:hAnsi="Calibri" w:cs="Calibri"/>
          <w:b/>
        </w:rPr>
        <w:t>6</w:t>
      </w:r>
    </w:p>
    <w:p w14:paraId="16DF82F4" w14:textId="6CD61814" w:rsidR="001F3FE5" w:rsidRPr="001F3FE5" w:rsidRDefault="001F3FE5" w:rsidP="00B254BB">
      <w:pPr>
        <w:spacing w:line="240" w:lineRule="auto"/>
        <w:jc w:val="both"/>
        <w:rPr>
          <w:rFonts w:ascii="Calibri" w:eastAsia="Calibri" w:hAnsi="Calibri" w:cs="Calibri"/>
        </w:rPr>
      </w:pPr>
      <w:r>
        <w:rPr>
          <w:rFonts w:ascii="Calibri" w:eastAsia="Calibri" w:hAnsi="Calibri" w:cs="Calibri"/>
        </w:rPr>
        <w:t>Rashodi poslovanja tijekom 20</w:t>
      </w:r>
      <w:r w:rsidR="003D4558">
        <w:rPr>
          <w:rFonts w:ascii="Calibri" w:eastAsia="Calibri" w:hAnsi="Calibri" w:cs="Calibri"/>
        </w:rPr>
        <w:t>2</w:t>
      </w:r>
      <w:r w:rsidR="00547DB4">
        <w:rPr>
          <w:rFonts w:ascii="Calibri" w:eastAsia="Calibri" w:hAnsi="Calibri" w:cs="Calibri"/>
        </w:rPr>
        <w:t>1</w:t>
      </w:r>
      <w:r>
        <w:rPr>
          <w:rFonts w:ascii="Calibri" w:eastAsia="Calibri" w:hAnsi="Calibri" w:cs="Calibri"/>
        </w:rPr>
        <w:t xml:space="preserve">. godine iznosili su </w:t>
      </w:r>
      <w:r w:rsidR="003D4558">
        <w:rPr>
          <w:rFonts w:ascii="Calibri" w:eastAsia="Calibri" w:hAnsi="Calibri" w:cs="Calibri"/>
        </w:rPr>
        <w:t>5.</w:t>
      </w:r>
      <w:r w:rsidR="00547DB4">
        <w:rPr>
          <w:rFonts w:ascii="Calibri" w:eastAsia="Calibri" w:hAnsi="Calibri" w:cs="Calibri"/>
        </w:rPr>
        <w:t>232.495</w:t>
      </w:r>
      <w:r>
        <w:rPr>
          <w:rFonts w:ascii="Calibri" w:eastAsia="Calibri" w:hAnsi="Calibri" w:cs="Calibri"/>
        </w:rPr>
        <w:t xml:space="preserve"> kun</w:t>
      </w:r>
      <w:r w:rsidR="00547DB4">
        <w:rPr>
          <w:rFonts w:ascii="Calibri" w:eastAsia="Calibri" w:hAnsi="Calibri" w:cs="Calibri"/>
        </w:rPr>
        <w:t>a</w:t>
      </w:r>
      <w:r>
        <w:rPr>
          <w:rFonts w:ascii="Calibri" w:eastAsia="Calibri" w:hAnsi="Calibri" w:cs="Calibri"/>
        </w:rPr>
        <w:t xml:space="preserve"> što je </w:t>
      </w:r>
      <w:r w:rsidR="00547DB4">
        <w:rPr>
          <w:rFonts w:ascii="Calibri" w:eastAsia="Calibri" w:hAnsi="Calibri" w:cs="Calibri"/>
        </w:rPr>
        <w:t>2,8</w:t>
      </w:r>
      <w:r>
        <w:rPr>
          <w:rFonts w:ascii="Calibri" w:eastAsia="Calibri" w:hAnsi="Calibri" w:cs="Calibri"/>
        </w:rPr>
        <w:t xml:space="preserve">% </w:t>
      </w:r>
      <w:r w:rsidR="00547DB4">
        <w:rPr>
          <w:rFonts w:ascii="Calibri" w:eastAsia="Calibri" w:hAnsi="Calibri" w:cs="Calibri"/>
        </w:rPr>
        <w:t xml:space="preserve"> više u odnosu na prethodnu godinu</w:t>
      </w:r>
      <w:r w:rsidR="003D4558">
        <w:rPr>
          <w:rFonts w:ascii="Calibri" w:eastAsia="Calibri" w:hAnsi="Calibri" w:cs="Calibri"/>
        </w:rPr>
        <w:t xml:space="preserve">. </w:t>
      </w:r>
    </w:p>
    <w:p w14:paraId="17AF816A" w14:textId="67B2E0F5" w:rsidR="00576131" w:rsidRDefault="00576131" w:rsidP="00B254BB">
      <w:pPr>
        <w:spacing w:line="240" w:lineRule="auto"/>
        <w:jc w:val="both"/>
        <w:rPr>
          <w:rFonts w:ascii="Calibri" w:eastAsia="Calibri" w:hAnsi="Calibri" w:cs="Calibri"/>
          <w:b/>
        </w:rPr>
      </w:pPr>
      <w:r>
        <w:rPr>
          <w:rFonts w:ascii="Calibri" w:eastAsia="Calibri" w:hAnsi="Calibri" w:cs="Calibri"/>
          <w:b/>
        </w:rPr>
        <w:t>Bil</w:t>
      </w:r>
      <w:r w:rsidR="001F3FE5">
        <w:rPr>
          <w:rFonts w:ascii="Calibri" w:eastAsia="Calibri" w:hAnsi="Calibri" w:cs="Calibri"/>
          <w:b/>
        </w:rPr>
        <w:t xml:space="preserve">ješka broj </w:t>
      </w:r>
      <w:r w:rsidR="00547DB4">
        <w:rPr>
          <w:rFonts w:ascii="Calibri" w:eastAsia="Calibri" w:hAnsi="Calibri" w:cs="Calibri"/>
          <w:b/>
        </w:rPr>
        <w:t>9</w:t>
      </w:r>
      <w:r w:rsidR="001F3FE5">
        <w:rPr>
          <w:rFonts w:ascii="Calibri" w:eastAsia="Calibri" w:hAnsi="Calibri" w:cs="Calibri"/>
          <w:b/>
        </w:rPr>
        <w:t xml:space="preserve"> – vezana uz AOP 1</w:t>
      </w:r>
      <w:r w:rsidR="006F7C35">
        <w:rPr>
          <w:rFonts w:ascii="Calibri" w:eastAsia="Calibri" w:hAnsi="Calibri" w:cs="Calibri"/>
          <w:b/>
        </w:rPr>
        <w:t>4</w:t>
      </w:r>
      <w:r w:rsidR="00547DB4">
        <w:rPr>
          <w:rFonts w:ascii="Calibri" w:eastAsia="Calibri" w:hAnsi="Calibri" w:cs="Calibri"/>
          <w:b/>
        </w:rPr>
        <w:t>7</w:t>
      </w:r>
    </w:p>
    <w:p w14:paraId="00E58E61" w14:textId="7BFAF5B1" w:rsidR="006F7C35" w:rsidRDefault="006F7C35" w:rsidP="00B254BB">
      <w:pPr>
        <w:spacing w:line="240" w:lineRule="auto"/>
        <w:jc w:val="both"/>
        <w:rPr>
          <w:rFonts w:ascii="Calibri" w:eastAsia="Calibri" w:hAnsi="Calibri" w:cs="Calibri"/>
        </w:rPr>
      </w:pPr>
      <w:r>
        <w:rPr>
          <w:rFonts w:ascii="Calibri" w:eastAsia="Calibri" w:hAnsi="Calibri" w:cs="Calibri"/>
        </w:rPr>
        <w:t xml:space="preserve">Rashodi za zaposlene iznosili su </w:t>
      </w:r>
      <w:r w:rsidR="00547DB4">
        <w:rPr>
          <w:rFonts w:ascii="Calibri" w:eastAsia="Calibri" w:hAnsi="Calibri" w:cs="Calibri"/>
        </w:rPr>
        <w:t>4.449.506</w:t>
      </w:r>
      <w:r>
        <w:rPr>
          <w:rFonts w:ascii="Calibri" w:eastAsia="Calibri" w:hAnsi="Calibri" w:cs="Calibri"/>
        </w:rPr>
        <w:t xml:space="preserve"> kun</w:t>
      </w:r>
      <w:r w:rsidR="00547DB4">
        <w:rPr>
          <w:rFonts w:ascii="Calibri" w:eastAsia="Calibri" w:hAnsi="Calibri" w:cs="Calibri"/>
        </w:rPr>
        <w:t>a</w:t>
      </w:r>
      <w:r>
        <w:rPr>
          <w:rFonts w:ascii="Calibri" w:eastAsia="Calibri" w:hAnsi="Calibri" w:cs="Calibri"/>
        </w:rPr>
        <w:t xml:space="preserve"> što je </w:t>
      </w:r>
      <w:r w:rsidR="00547DB4">
        <w:rPr>
          <w:rFonts w:ascii="Calibri" w:eastAsia="Calibri" w:hAnsi="Calibri" w:cs="Calibri"/>
        </w:rPr>
        <w:t>15,0</w:t>
      </w:r>
      <w:r>
        <w:rPr>
          <w:rFonts w:ascii="Calibri" w:eastAsia="Calibri" w:hAnsi="Calibri" w:cs="Calibri"/>
        </w:rPr>
        <w:t>% više nego prethodne godine.</w:t>
      </w:r>
    </w:p>
    <w:p w14:paraId="430490E1" w14:textId="4752CBB5" w:rsidR="001F3FE5" w:rsidRDefault="001F3FE5" w:rsidP="00B254BB">
      <w:pPr>
        <w:spacing w:line="240" w:lineRule="auto"/>
        <w:jc w:val="both"/>
        <w:rPr>
          <w:rFonts w:ascii="Calibri" w:eastAsia="Calibri" w:hAnsi="Calibri" w:cs="Calibri"/>
        </w:rPr>
      </w:pPr>
      <w:r>
        <w:rPr>
          <w:rFonts w:ascii="Calibri" w:eastAsia="Calibri" w:hAnsi="Calibri" w:cs="Calibri"/>
        </w:rPr>
        <w:t xml:space="preserve">Rashodi za </w:t>
      </w:r>
      <w:r w:rsidR="006F7C35">
        <w:rPr>
          <w:rFonts w:ascii="Calibri" w:eastAsia="Calibri" w:hAnsi="Calibri" w:cs="Calibri"/>
        </w:rPr>
        <w:t>plaće (bruto)</w:t>
      </w:r>
      <w:r>
        <w:rPr>
          <w:rFonts w:ascii="Calibri" w:eastAsia="Calibri" w:hAnsi="Calibri" w:cs="Calibri"/>
        </w:rPr>
        <w:t xml:space="preserve"> iznosili su </w:t>
      </w:r>
      <w:r w:rsidR="00547DB4">
        <w:rPr>
          <w:rFonts w:ascii="Calibri" w:eastAsia="Calibri" w:hAnsi="Calibri" w:cs="Calibri"/>
        </w:rPr>
        <w:t>3.611.359</w:t>
      </w:r>
      <w:r>
        <w:rPr>
          <w:rFonts w:ascii="Calibri" w:eastAsia="Calibri" w:hAnsi="Calibri" w:cs="Calibri"/>
        </w:rPr>
        <w:t xml:space="preserve"> kuna što je </w:t>
      </w:r>
      <w:r w:rsidR="00547DB4">
        <w:rPr>
          <w:rFonts w:ascii="Calibri" w:eastAsia="Calibri" w:hAnsi="Calibri" w:cs="Calibri"/>
        </w:rPr>
        <w:t>12,2</w:t>
      </w:r>
      <w:r w:rsidR="006F7C35">
        <w:rPr>
          <w:rFonts w:ascii="Calibri" w:eastAsia="Calibri" w:hAnsi="Calibri" w:cs="Calibri"/>
        </w:rPr>
        <w:t>%</w:t>
      </w:r>
      <w:r>
        <w:rPr>
          <w:rFonts w:ascii="Calibri" w:eastAsia="Calibri" w:hAnsi="Calibri" w:cs="Calibri"/>
        </w:rPr>
        <w:t xml:space="preserve"> </w:t>
      </w:r>
      <w:r w:rsidR="006F7C35">
        <w:rPr>
          <w:rFonts w:ascii="Calibri" w:eastAsia="Calibri" w:hAnsi="Calibri" w:cs="Calibri"/>
        </w:rPr>
        <w:t>više</w:t>
      </w:r>
      <w:r>
        <w:rPr>
          <w:rFonts w:ascii="Calibri" w:eastAsia="Calibri" w:hAnsi="Calibri" w:cs="Calibri"/>
        </w:rPr>
        <w:t xml:space="preserve"> nego prethodne godine. Razlog </w:t>
      </w:r>
      <w:r w:rsidR="006F7C35">
        <w:rPr>
          <w:rFonts w:ascii="Calibri" w:eastAsia="Calibri" w:hAnsi="Calibri" w:cs="Calibri"/>
        </w:rPr>
        <w:t xml:space="preserve">povećanih rashoda za plaće (bruto) nalazi se u tome što je prethodne godine </w:t>
      </w:r>
      <w:r w:rsidR="006F7C35">
        <w:rPr>
          <w:rFonts w:ascii="Calibri" w:eastAsia="Calibri" w:hAnsi="Calibri" w:cs="Calibri"/>
        </w:rPr>
        <w:lastRenderedPageBreak/>
        <w:t>prosječan broj zaposlenih na osnovi sata rada iznosio 2</w:t>
      </w:r>
      <w:r w:rsidR="00547DB4">
        <w:rPr>
          <w:rFonts w:ascii="Calibri" w:eastAsia="Calibri" w:hAnsi="Calibri" w:cs="Calibri"/>
        </w:rPr>
        <w:t>6</w:t>
      </w:r>
      <w:r w:rsidR="006F7C35">
        <w:rPr>
          <w:rFonts w:ascii="Calibri" w:eastAsia="Calibri" w:hAnsi="Calibri" w:cs="Calibri"/>
        </w:rPr>
        <w:t>, a 202</w:t>
      </w:r>
      <w:r w:rsidR="00547DB4">
        <w:rPr>
          <w:rFonts w:ascii="Calibri" w:eastAsia="Calibri" w:hAnsi="Calibri" w:cs="Calibri"/>
        </w:rPr>
        <w:t>1</w:t>
      </w:r>
      <w:r w:rsidR="006F7C35">
        <w:rPr>
          <w:rFonts w:ascii="Calibri" w:eastAsia="Calibri" w:hAnsi="Calibri" w:cs="Calibri"/>
        </w:rPr>
        <w:t>. godine 2</w:t>
      </w:r>
      <w:r w:rsidR="00547DB4">
        <w:rPr>
          <w:rFonts w:ascii="Calibri" w:eastAsia="Calibri" w:hAnsi="Calibri" w:cs="Calibri"/>
        </w:rPr>
        <w:t>8</w:t>
      </w:r>
      <w:r w:rsidR="006F7C35">
        <w:rPr>
          <w:rFonts w:ascii="Calibri" w:eastAsia="Calibri" w:hAnsi="Calibri" w:cs="Calibri"/>
        </w:rPr>
        <w:t xml:space="preserve"> zaposlenih. Ta razlika odnosi se na povratak na posao</w:t>
      </w:r>
      <w:r w:rsidR="008F2284">
        <w:rPr>
          <w:rFonts w:ascii="Calibri" w:eastAsia="Calibri" w:hAnsi="Calibri" w:cs="Calibri"/>
        </w:rPr>
        <w:t xml:space="preserve"> dvije</w:t>
      </w:r>
      <w:r w:rsidR="006F7C35">
        <w:rPr>
          <w:rFonts w:ascii="Calibri" w:eastAsia="Calibri" w:hAnsi="Calibri" w:cs="Calibri"/>
        </w:rPr>
        <w:t xml:space="preserve"> djelatnic</w:t>
      </w:r>
      <w:r w:rsidR="008F2284">
        <w:rPr>
          <w:rFonts w:ascii="Calibri" w:eastAsia="Calibri" w:hAnsi="Calibri" w:cs="Calibri"/>
        </w:rPr>
        <w:t>e</w:t>
      </w:r>
      <w:r w:rsidR="006F7C35">
        <w:rPr>
          <w:rFonts w:ascii="Calibri" w:eastAsia="Calibri" w:hAnsi="Calibri" w:cs="Calibri"/>
        </w:rPr>
        <w:t xml:space="preserve"> koje su koristile pravo na roditeljski dop</w:t>
      </w:r>
      <w:r w:rsidR="00547DB4">
        <w:rPr>
          <w:rFonts w:ascii="Calibri" w:eastAsia="Calibri" w:hAnsi="Calibri" w:cs="Calibri"/>
        </w:rPr>
        <w:t>u</w:t>
      </w:r>
      <w:r w:rsidR="006F7C35">
        <w:rPr>
          <w:rFonts w:ascii="Calibri" w:eastAsia="Calibri" w:hAnsi="Calibri" w:cs="Calibri"/>
        </w:rPr>
        <w:t>st.</w:t>
      </w:r>
    </w:p>
    <w:p w14:paraId="26DA3132" w14:textId="61C13237" w:rsidR="006F7C35" w:rsidRDefault="006F7C35" w:rsidP="00B254BB">
      <w:pPr>
        <w:spacing w:line="240" w:lineRule="auto"/>
        <w:jc w:val="both"/>
        <w:rPr>
          <w:rFonts w:ascii="Calibri" w:eastAsia="Calibri" w:hAnsi="Calibri" w:cs="Calibri"/>
        </w:rPr>
      </w:pPr>
      <w:r>
        <w:rPr>
          <w:rFonts w:ascii="Calibri" w:eastAsia="Calibri" w:hAnsi="Calibri" w:cs="Calibri"/>
        </w:rPr>
        <w:t xml:space="preserve">Ostali rashodi za zaposlene iznosili su </w:t>
      </w:r>
      <w:r w:rsidR="008F2284">
        <w:rPr>
          <w:rFonts w:ascii="Calibri" w:eastAsia="Calibri" w:hAnsi="Calibri" w:cs="Calibri"/>
        </w:rPr>
        <w:t>295.030</w:t>
      </w:r>
      <w:r>
        <w:rPr>
          <w:rFonts w:ascii="Calibri" w:eastAsia="Calibri" w:hAnsi="Calibri" w:cs="Calibri"/>
        </w:rPr>
        <w:t xml:space="preserve"> kune što je </w:t>
      </w:r>
      <w:r w:rsidR="008F2284">
        <w:rPr>
          <w:rFonts w:ascii="Calibri" w:eastAsia="Calibri" w:hAnsi="Calibri" w:cs="Calibri"/>
        </w:rPr>
        <w:t>62,4</w:t>
      </w:r>
      <w:r>
        <w:rPr>
          <w:rFonts w:ascii="Calibri" w:eastAsia="Calibri" w:hAnsi="Calibri" w:cs="Calibri"/>
        </w:rPr>
        <w:t xml:space="preserve">% </w:t>
      </w:r>
      <w:r w:rsidR="008F2284">
        <w:rPr>
          <w:rFonts w:ascii="Calibri" w:eastAsia="Calibri" w:hAnsi="Calibri" w:cs="Calibri"/>
        </w:rPr>
        <w:t xml:space="preserve">više nego </w:t>
      </w:r>
      <w:r>
        <w:rPr>
          <w:rFonts w:ascii="Calibri" w:eastAsia="Calibri" w:hAnsi="Calibri" w:cs="Calibri"/>
        </w:rPr>
        <w:t xml:space="preserve">prethodne godine. </w:t>
      </w:r>
      <w:r w:rsidR="008F2284">
        <w:rPr>
          <w:rFonts w:ascii="Calibri" w:eastAsia="Calibri" w:hAnsi="Calibri" w:cs="Calibri"/>
        </w:rPr>
        <w:t>Razlog povećanja ostalih rashoda za zaposlene je zbog isplate svih prigodnih nagrada</w:t>
      </w:r>
      <w:r w:rsidR="00F652C0">
        <w:rPr>
          <w:rFonts w:ascii="Calibri" w:eastAsia="Calibri" w:hAnsi="Calibri" w:cs="Calibri"/>
        </w:rPr>
        <w:t xml:space="preserve">, </w:t>
      </w:r>
      <w:r w:rsidR="008F2284">
        <w:rPr>
          <w:rFonts w:ascii="Calibri" w:eastAsia="Calibri" w:hAnsi="Calibri" w:cs="Calibri"/>
        </w:rPr>
        <w:t>što nije bio slučaj u 2020. godini, povećanog broja zaposlenika koji su ostvarili pravo na isplatu jubilarne nagrade te isplate naknade za invalidnost</w:t>
      </w:r>
      <w:r w:rsidR="00F652C0">
        <w:rPr>
          <w:rFonts w:ascii="Calibri" w:eastAsia="Calibri" w:hAnsi="Calibri" w:cs="Calibri"/>
        </w:rPr>
        <w:t>.</w:t>
      </w:r>
    </w:p>
    <w:p w14:paraId="4BB06569" w14:textId="492F4988" w:rsidR="00F652C0" w:rsidRDefault="00F652C0" w:rsidP="00B254BB">
      <w:pPr>
        <w:spacing w:line="240" w:lineRule="auto"/>
        <w:jc w:val="both"/>
        <w:rPr>
          <w:rFonts w:ascii="Calibri" w:eastAsia="Calibri" w:hAnsi="Calibri" w:cs="Calibri"/>
        </w:rPr>
      </w:pPr>
    </w:p>
    <w:p w14:paraId="3624BED3" w14:textId="3AB96504" w:rsidR="00F652C0" w:rsidRDefault="00F652C0" w:rsidP="00B254BB">
      <w:pPr>
        <w:spacing w:line="240" w:lineRule="auto"/>
        <w:jc w:val="both"/>
        <w:rPr>
          <w:rFonts w:ascii="Calibri" w:eastAsia="Calibri" w:hAnsi="Calibri" w:cs="Calibri"/>
        </w:rPr>
      </w:pPr>
    </w:p>
    <w:p w14:paraId="7565256A" w14:textId="77777777" w:rsidR="00F652C0" w:rsidRPr="001F3FE5" w:rsidRDefault="00F652C0" w:rsidP="00B254BB">
      <w:pPr>
        <w:spacing w:line="240" w:lineRule="auto"/>
        <w:jc w:val="both"/>
        <w:rPr>
          <w:rFonts w:ascii="Calibri" w:eastAsia="Calibri" w:hAnsi="Calibri" w:cs="Calibri"/>
        </w:rPr>
      </w:pPr>
    </w:p>
    <w:p w14:paraId="24B980FD" w14:textId="3214255B" w:rsidR="008A46E9" w:rsidRDefault="008A46E9" w:rsidP="00B254BB">
      <w:pPr>
        <w:spacing w:line="240" w:lineRule="auto"/>
        <w:jc w:val="both"/>
        <w:rPr>
          <w:rFonts w:ascii="Calibri" w:eastAsia="Calibri" w:hAnsi="Calibri" w:cs="Calibri"/>
          <w:b/>
        </w:rPr>
      </w:pPr>
      <w:r>
        <w:rPr>
          <w:rFonts w:ascii="Calibri" w:eastAsia="Calibri" w:hAnsi="Calibri" w:cs="Calibri"/>
          <w:b/>
        </w:rPr>
        <w:t>Bilješka broj 1</w:t>
      </w:r>
      <w:r w:rsidR="00F652C0">
        <w:rPr>
          <w:rFonts w:ascii="Calibri" w:eastAsia="Calibri" w:hAnsi="Calibri" w:cs="Calibri"/>
          <w:b/>
        </w:rPr>
        <w:t>0</w:t>
      </w:r>
      <w:r>
        <w:rPr>
          <w:rFonts w:ascii="Calibri" w:eastAsia="Calibri" w:hAnsi="Calibri" w:cs="Calibri"/>
          <w:b/>
        </w:rPr>
        <w:t xml:space="preserve"> – vezana uz AOP 15</w:t>
      </w:r>
      <w:r w:rsidR="00F652C0">
        <w:rPr>
          <w:rFonts w:ascii="Calibri" w:eastAsia="Calibri" w:hAnsi="Calibri" w:cs="Calibri"/>
          <w:b/>
        </w:rPr>
        <w:t>5</w:t>
      </w:r>
    </w:p>
    <w:p w14:paraId="07D9BA4A" w14:textId="34594400" w:rsidR="008A46E9" w:rsidRPr="008A46E9" w:rsidRDefault="008A46E9" w:rsidP="00B254BB">
      <w:pPr>
        <w:spacing w:line="240" w:lineRule="auto"/>
        <w:jc w:val="both"/>
        <w:rPr>
          <w:rFonts w:ascii="Calibri" w:eastAsia="Calibri" w:hAnsi="Calibri" w:cs="Calibri"/>
          <w:b/>
        </w:rPr>
      </w:pPr>
      <w:r>
        <w:rPr>
          <w:rFonts w:ascii="Calibri" w:eastAsia="Calibri" w:hAnsi="Calibri" w:cs="Calibri"/>
          <w:bCs/>
        </w:rPr>
        <w:t xml:space="preserve">Doprinosi za mirovinsko osiguranje iznosili su </w:t>
      </w:r>
      <w:r w:rsidR="00F652C0">
        <w:rPr>
          <w:rFonts w:ascii="Calibri" w:eastAsia="Calibri" w:hAnsi="Calibri" w:cs="Calibri"/>
          <w:bCs/>
        </w:rPr>
        <w:t>21.844</w:t>
      </w:r>
      <w:r>
        <w:rPr>
          <w:rFonts w:ascii="Calibri" w:eastAsia="Calibri" w:hAnsi="Calibri" w:cs="Calibri"/>
          <w:bCs/>
        </w:rPr>
        <w:t xml:space="preserve"> kuna</w:t>
      </w:r>
      <w:r w:rsidR="00F652C0">
        <w:rPr>
          <w:rFonts w:ascii="Calibri" w:eastAsia="Calibri" w:hAnsi="Calibri" w:cs="Calibri"/>
          <w:bCs/>
        </w:rPr>
        <w:t xml:space="preserve"> i</w:t>
      </w:r>
      <w:r>
        <w:rPr>
          <w:rFonts w:ascii="Calibri" w:eastAsia="Calibri" w:hAnsi="Calibri" w:cs="Calibri"/>
          <w:bCs/>
        </w:rPr>
        <w:t xml:space="preserve"> odnose na staž osiguranja s povećanim trajanjem za dv</w:t>
      </w:r>
      <w:r w:rsidR="00F652C0">
        <w:rPr>
          <w:rFonts w:ascii="Calibri" w:eastAsia="Calibri" w:hAnsi="Calibri" w:cs="Calibri"/>
          <w:bCs/>
        </w:rPr>
        <w:t>i</w:t>
      </w:r>
      <w:r>
        <w:rPr>
          <w:rFonts w:ascii="Calibri" w:eastAsia="Calibri" w:hAnsi="Calibri" w:cs="Calibri"/>
          <w:bCs/>
        </w:rPr>
        <w:t>je djelatnice</w:t>
      </w:r>
      <w:r w:rsidR="00F652C0">
        <w:rPr>
          <w:rFonts w:ascii="Calibri" w:eastAsia="Calibri" w:hAnsi="Calibri" w:cs="Calibri"/>
          <w:bCs/>
        </w:rPr>
        <w:t xml:space="preserve"> tokom cijele godine</w:t>
      </w:r>
      <w:r>
        <w:rPr>
          <w:rFonts w:ascii="Calibri" w:eastAsia="Calibri" w:hAnsi="Calibri" w:cs="Calibri"/>
          <w:bCs/>
        </w:rPr>
        <w:t>.</w:t>
      </w:r>
      <w:r>
        <w:rPr>
          <w:rFonts w:ascii="Calibri" w:eastAsia="Calibri" w:hAnsi="Calibri" w:cs="Calibri"/>
          <w:b/>
        </w:rPr>
        <w:t xml:space="preserve"> </w:t>
      </w:r>
    </w:p>
    <w:p w14:paraId="2136EB9F" w14:textId="3853988B" w:rsidR="00576131" w:rsidRDefault="00576131" w:rsidP="00B254BB">
      <w:pPr>
        <w:spacing w:line="240" w:lineRule="auto"/>
        <w:jc w:val="both"/>
        <w:rPr>
          <w:rFonts w:ascii="Calibri" w:eastAsia="Calibri" w:hAnsi="Calibri" w:cs="Calibri"/>
          <w:b/>
        </w:rPr>
      </w:pPr>
      <w:r>
        <w:rPr>
          <w:rFonts w:ascii="Calibri" w:eastAsia="Calibri" w:hAnsi="Calibri" w:cs="Calibri"/>
          <w:b/>
        </w:rPr>
        <w:t>Bilj</w:t>
      </w:r>
      <w:r w:rsidR="001A62A9">
        <w:rPr>
          <w:rFonts w:ascii="Calibri" w:eastAsia="Calibri" w:hAnsi="Calibri" w:cs="Calibri"/>
          <w:b/>
        </w:rPr>
        <w:t>eška broj 1</w:t>
      </w:r>
      <w:r w:rsidR="00F652C0">
        <w:rPr>
          <w:rFonts w:ascii="Calibri" w:eastAsia="Calibri" w:hAnsi="Calibri" w:cs="Calibri"/>
          <w:b/>
        </w:rPr>
        <w:t>1</w:t>
      </w:r>
      <w:r w:rsidR="001A62A9">
        <w:rPr>
          <w:rFonts w:ascii="Calibri" w:eastAsia="Calibri" w:hAnsi="Calibri" w:cs="Calibri"/>
          <w:b/>
        </w:rPr>
        <w:t xml:space="preserve"> – vezana uz AOP 1</w:t>
      </w:r>
      <w:r w:rsidR="00F652C0">
        <w:rPr>
          <w:rFonts w:ascii="Calibri" w:eastAsia="Calibri" w:hAnsi="Calibri" w:cs="Calibri"/>
          <w:b/>
        </w:rPr>
        <w:t>58</w:t>
      </w:r>
    </w:p>
    <w:p w14:paraId="58BD5B6D" w14:textId="38EB2DD3" w:rsidR="001A62A9" w:rsidRPr="008A46E9" w:rsidRDefault="001A62A9" w:rsidP="00B254BB">
      <w:pPr>
        <w:spacing w:line="240" w:lineRule="auto"/>
        <w:jc w:val="both"/>
        <w:rPr>
          <w:rFonts w:ascii="Calibri" w:eastAsia="Calibri" w:hAnsi="Calibri" w:cs="Calibri"/>
        </w:rPr>
      </w:pPr>
      <w:r>
        <w:rPr>
          <w:rFonts w:ascii="Calibri" w:eastAsia="Calibri" w:hAnsi="Calibri" w:cs="Calibri"/>
        </w:rPr>
        <w:t xml:space="preserve">Materijalni rashodi iznosili su </w:t>
      </w:r>
      <w:r w:rsidR="00F652C0">
        <w:rPr>
          <w:rFonts w:ascii="Calibri" w:eastAsia="Calibri" w:hAnsi="Calibri" w:cs="Calibri"/>
        </w:rPr>
        <w:t>775.130</w:t>
      </w:r>
      <w:r>
        <w:rPr>
          <w:rFonts w:ascii="Calibri" w:eastAsia="Calibri" w:hAnsi="Calibri" w:cs="Calibri"/>
        </w:rPr>
        <w:t xml:space="preserve"> kun</w:t>
      </w:r>
      <w:r w:rsidR="00F652C0">
        <w:rPr>
          <w:rFonts w:ascii="Calibri" w:eastAsia="Calibri" w:hAnsi="Calibri" w:cs="Calibri"/>
        </w:rPr>
        <w:t>a</w:t>
      </w:r>
      <w:r>
        <w:rPr>
          <w:rFonts w:ascii="Calibri" w:eastAsia="Calibri" w:hAnsi="Calibri" w:cs="Calibri"/>
        </w:rPr>
        <w:t xml:space="preserve"> što je </w:t>
      </w:r>
      <w:r w:rsidR="00F652C0">
        <w:rPr>
          <w:rFonts w:ascii="Calibri" w:eastAsia="Calibri" w:hAnsi="Calibri" w:cs="Calibri"/>
        </w:rPr>
        <w:t>70,7</w:t>
      </w:r>
      <w:r w:rsidR="008A46E9">
        <w:rPr>
          <w:rFonts w:ascii="Calibri" w:eastAsia="Calibri" w:hAnsi="Calibri" w:cs="Calibri"/>
        </w:rPr>
        <w:t>% materijalnih rashoda ostvarenih prethodne godine</w:t>
      </w:r>
      <w:r>
        <w:rPr>
          <w:rFonts w:ascii="Calibri" w:eastAsia="Calibri" w:hAnsi="Calibri" w:cs="Calibri"/>
        </w:rPr>
        <w:t xml:space="preserve">. </w:t>
      </w:r>
    </w:p>
    <w:p w14:paraId="73693EA9" w14:textId="61B2CB59" w:rsidR="00576131" w:rsidRDefault="00576131" w:rsidP="00B254BB">
      <w:pPr>
        <w:spacing w:line="240" w:lineRule="auto"/>
        <w:jc w:val="both"/>
        <w:rPr>
          <w:rFonts w:ascii="Calibri" w:eastAsia="Calibri" w:hAnsi="Calibri" w:cs="Calibri"/>
          <w:b/>
        </w:rPr>
      </w:pPr>
      <w:r>
        <w:rPr>
          <w:rFonts w:ascii="Calibri" w:eastAsia="Calibri" w:hAnsi="Calibri" w:cs="Calibri"/>
          <w:b/>
        </w:rPr>
        <w:t>Bilj</w:t>
      </w:r>
      <w:r w:rsidR="001A62A9">
        <w:rPr>
          <w:rFonts w:ascii="Calibri" w:eastAsia="Calibri" w:hAnsi="Calibri" w:cs="Calibri"/>
          <w:b/>
        </w:rPr>
        <w:t>eška broj 1</w:t>
      </w:r>
      <w:r w:rsidR="00E002DF">
        <w:rPr>
          <w:rFonts w:ascii="Calibri" w:eastAsia="Calibri" w:hAnsi="Calibri" w:cs="Calibri"/>
          <w:b/>
        </w:rPr>
        <w:t>2</w:t>
      </w:r>
      <w:r w:rsidR="001A62A9">
        <w:rPr>
          <w:rFonts w:ascii="Calibri" w:eastAsia="Calibri" w:hAnsi="Calibri" w:cs="Calibri"/>
          <w:b/>
        </w:rPr>
        <w:t xml:space="preserve"> – vezana uz AOP 16</w:t>
      </w:r>
      <w:r w:rsidR="00F652C0">
        <w:rPr>
          <w:rFonts w:ascii="Calibri" w:eastAsia="Calibri" w:hAnsi="Calibri" w:cs="Calibri"/>
          <w:b/>
        </w:rPr>
        <w:t>0</w:t>
      </w:r>
    </w:p>
    <w:p w14:paraId="2795BFF9" w14:textId="59BB0269" w:rsidR="001A62A9" w:rsidRPr="001A62A9" w:rsidRDefault="001A62A9" w:rsidP="00B254BB">
      <w:pPr>
        <w:spacing w:line="240" w:lineRule="auto"/>
        <w:jc w:val="both"/>
        <w:rPr>
          <w:rFonts w:ascii="Calibri" w:eastAsia="Calibri" w:hAnsi="Calibri" w:cs="Calibri"/>
        </w:rPr>
      </w:pPr>
      <w:r>
        <w:rPr>
          <w:rFonts w:ascii="Calibri" w:eastAsia="Calibri" w:hAnsi="Calibri" w:cs="Calibri"/>
        </w:rPr>
        <w:t xml:space="preserve">Rashodi za službena putovanja iznosili su </w:t>
      </w:r>
      <w:r w:rsidR="008A46E9">
        <w:rPr>
          <w:rFonts w:ascii="Calibri" w:eastAsia="Calibri" w:hAnsi="Calibri" w:cs="Calibri"/>
        </w:rPr>
        <w:t>3</w:t>
      </w:r>
      <w:r w:rsidR="00F652C0">
        <w:rPr>
          <w:rFonts w:ascii="Calibri" w:eastAsia="Calibri" w:hAnsi="Calibri" w:cs="Calibri"/>
        </w:rPr>
        <w:t>3.095</w:t>
      </w:r>
      <w:r>
        <w:rPr>
          <w:rFonts w:ascii="Calibri" w:eastAsia="Calibri" w:hAnsi="Calibri" w:cs="Calibri"/>
        </w:rPr>
        <w:t xml:space="preserve"> kuna što je </w:t>
      </w:r>
      <w:r w:rsidR="00F652C0">
        <w:rPr>
          <w:rFonts w:ascii="Calibri" w:eastAsia="Calibri" w:hAnsi="Calibri" w:cs="Calibri"/>
        </w:rPr>
        <w:t>2,4</w:t>
      </w:r>
      <w:r w:rsidR="008A46E9">
        <w:rPr>
          <w:rFonts w:ascii="Calibri" w:eastAsia="Calibri" w:hAnsi="Calibri" w:cs="Calibri"/>
        </w:rPr>
        <w:t xml:space="preserve">% </w:t>
      </w:r>
      <w:r w:rsidR="00F652C0">
        <w:rPr>
          <w:rFonts w:ascii="Calibri" w:eastAsia="Calibri" w:hAnsi="Calibri" w:cs="Calibri"/>
        </w:rPr>
        <w:t>više od rashoda ostvarenih prethodne godine. Rashodi su na približno istoj razini kao i prethodne godine</w:t>
      </w:r>
      <w:r w:rsidR="00E002DF">
        <w:rPr>
          <w:rFonts w:ascii="Calibri" w:eastAsia="Calibri" w:hAnsi="Calibri" w:cs="Calibri"/>
        </w:rPr>
        <w:t>.</w:t>
      </w:r>
    </w:p>
    <w:p w14:paraId="36F2808F" w14:textId="4291E8B2" w:rsidR="00A62F14" w:rsidRDefault="00A62F14" w:rsidP="00B254BB">
      <w:pPr>
        <w:spacing w:line="240" w:lineRule="auto"/>
        <w:jc w:val="both"/>
        <w:rPr>
          <w:rFonts w:ascii="Calibri" w:eastAsia="Calibri" w:hAnsi="Calibri" w:cs="Calibri"/>
          <w:b/>
        </w:rPr>
      </w:pPr>
      <w:r>
        <w:rPr>
          <w:rFonts w:ascii="Calibri" w:eastAsia="Calibri" w:hAnsi="Calibri" w:cs="Calibri"/>
          <w:b/>
        </w:rPr>
        <w:t>Bilješka broj 1</w:t>
      </w:r>
      <w:r w:rsidR="00E002DF">
        <w:rPr>
          <w:rFonts w:ascii="Calibri" w:eastAsia="Calibri" w:hAnsi="Calibri" w:cs="Calibri"/>
          <w:b/>
        </w:rPr>
        <w:t>3</w:t>
      </w:r>
      <w:r>
        <w:rPr>
          <w:rFonts w:ascii="Calibri" w:eastAsia="Calibri" w:hAnsi="Calibri" w:cs="Calibri"/>
          <w:b/>
        </w:rPr>
        <w:t xml:space="preserve"> – v</w:t>
      </w:r>
      <w:r w:rsidR="003B4000">
        <w:rPr>
          <w:rFonts w:ascii="Calibri" w:eastAsia="Calibri" w:hAnsi="Calibri" w:cs="Calibri"/>
          <w:b/>
        </w:rPr>
        <w:t>e</w:t>
      </w:r>
      <w:r w:rsidR="001A62A9">
        <w:rPr>
          <w:rFonts w:ascii="Calibri" w:eastAsia="Calibri" w:hAnsi="Calibri" w:cs="Calibri"/>
          <w:b/>
        </w:rPr>
        <w:t>zana uz AOP 1</w:t>
      </w:r>
      <w:r w:rsidR="008A46E9">
        <w:rPr>
          <w:rFonts w:ascii="Calibri" w:eastAsia="Calibri" w:hAnsi="Calibri" w:cs="Calibri"/>
          <w:b/>
        </w:rPr>
        <w:t>6</w:t>
      </w:r>
      <w:r w:rsidR="00E002DF">
        <w:rPr>
          <w:rFonts w:ascii="Calibri" w:eastAsia="Calibri" w:hAnsi="Calibri" w:cs="Calibri"/>
          <w:b/>
        </w:rPr>
        <w:t>2</w:t>
      </w:r>
    </w:p>
    <w:p w14:paraId="103AC445" w14:textId="3F97A2CD" w:rsidR="001A62A9" w:rsidRPr="001A62A9" w:rsidRDefault="008A46E9" w:rsidP="00B254BB">
      <w:pPr>
        <w:spacing w:line="240" w:lineRule="auto"/>
        <w:jc w:val="both"/>
        <w:rPr>
          <w:rFonts w:ascii="Calibri" w:eastAsia="Calibri" w:hAnsi="Calibri" w:cs="Calibri"/>
        </w:rPr>
      </w:pPr>
      <w:r>
        <w:rPr>
          <w:rFonts w:ascii="Calibri" w:eastAsia="Calibri" w:hAnsi="Calibri" w:cs="Calibri"/>
        </w:rPr>
        <w:t xml:space="preserve">Rashodi za stručno usavršavanje zaposlenika iznosili su </w:t>
      </w:r>
      <w:r w:rsidR="00E002DF">
        <w:rPr>
          <w:rFonts w:ascii="Calibri" w:eastAsia="Calibri" w:hAnsi="Calibri" w:cs="Calibri"/>
        </w:rPr>
        <w:t>31.116</w:t>
      </w:r>
      <w:r>
        <w:rPr>
          <w:rFonts w:ascii="Calibri" w:eastAsia="Calibri" w:hAnsi="Calibri" w:cs="Calibri"/>
        </w:rPr>
        <w:t xml:space="preserve"> kuna, što je </w:t>
      </w:r>
      <w:r w:rsidR="00E002DF">
        <w:rPr>
          <w:rFonts w:ascii="Calibri" w:eastAsia="Calibri" w:hAnsi="Calibri" w:cs="Calibri"/>
        </w:rPr>
        <w:t>275,8</w:t>
      </w:r>
      <w:r>
        <w:rPr>
          <w:rFonts w:ascii="Calibri" w:eastAsia="Calibri" w:hAnsi="Calibri" w:cs="Calibri"/>
        </w:rPr>
        <w:t>%</w:t>
      </w:r>
      <w:r w:rsidR="00E002DF">
        <w:rPr>
          <w:rFonts w:ascii="Calibri" w:eastAsia="Calibri" w:hAnsi="Calibri" w:cs="Calibri"/>
        </w:rPr>
        <w:t xml:space="preserve"> više</w:t>
      </w:r>
      <w:r>
        <w:rPr>
          <w:rFonts w:ascii="Calibri" w:eastAsia="Calibri" w:hAnsi="Calibri" w:cs="Calibri"/>
        </w:rPr>
        <w:t xml:space="preserve"> </w:t>
      </w:r>
      <w:r w:rsidR="00E002DF">
        <w:rPr>
          <w:rFonts w:ascii="Calibri" w:eastAsia="Calibri" w:hAnsi="Calibri" w:cs="Calibri"/>
        </w:rPr>
        <w:t xml:space="preserve">od </w:t>
      </w:r>
      <w:r>
        <w:rPr>
          <w:rFonts w:ascii="Calibri" w:eastAsia="Calibri" w:hAnsi="Calibri" w:cs="Calibri"/>
        </w:rPr>
        <w:t xml:space="preserve">prethodne godine. Razlog </w:t>
      </w:r>
      <w:r w:rsidR="00E002DF">
        <w:rPr>
          <w:rFonts w:ascii="Calibri" w:eastAsia="Calibri" w:hAnsi="Calibri" w:cs="Calibri"/>
        </w:rPr>
        <w:t>povećanja su edukacije zaposlenika u području javne nabave, financija i računovodstva te sudjelovanje na domaćim i inozemnim konferencijama.</w:t>
      </w:r>
    </w:p>
    <w:p w14:paraId="531F12B7" w14:textId="76C51454" w:rsidR="00046FA9" w:rsidRDefault="00046FA9" w:rsidP="00046FA9">
      <w:pPr>
        <w:spacing w:line="240" w:lineRule="auto"/>
        <w:jc w:val="both"/>
        <w:rPr>
          <w:rFonts w:ascii="Calibri" w:eastAsia="Calibri" w:hAnsi="Calibri" w:cs="Calibri"/>
          <w:b/>
        </w:rPr>
      </w:pPr>
      <w:r>
        <w:rPr>
          <w:rFonts w:ascii="Calibri" w:eastAsia="Calibri" w:hAnsi="Calibri" w:cs="Calibri"/>
          <w:b/>
        </w:rPr>
        <w:t>Bilješka broj 1</w:t>
      </w:r>
      <w:r w:rsidR="00E002DF">
        <w:rPr>
          <w:rFonts w:ascii="Calibri" w:eastAsia="Calibri" w:hAnsi="Calibri" w:cs="Calibri"/>
          <w:b/>
        </w:rPr>
        <w:t>4</w:t>
      </w:r>
      <w:r>
        <w:rPr>
          <w:rFonts w:ascii="Calibri" w:eastAsia="Calibri" w:hAnsi="Calibri" w:cs="Calibri"/>
          <w:b/>
        </w:rPr>
        <w:t xml:space="preserve"> – vezana uz AOP 16</w:t>
      </w:r>
      <w:r w:rsidR="00E002DF">
        <w:rPr>
          <w:rFonts w:ascii="Calibri" w:eastAsia="Calibri" w:hAnsi="Calibri" w:cs="Calibri"/>
          <w:b/>
        </w:rPr>
        <w:t>4</w:t>
      </w:r>
    </w:p>
    <w:p w14:paraId="6A1DD915" w14:textId="7DEA3BD0" w:rsidR="00046FA9" w:rsidRDefault="00046FA9" w:rsidP="00046FA9">
      <w:pPr>
        <w:spacing w:line="240" w:lineRule="auto"/>
        <w:jc w:val="both"/>
        <w:rPr>
          <w:rFonts w:ascii="Calibri" w:eastAsia="Calibri" w:hAnsi="Calibri" w:cs="Calibri"/>
        </w:rPr>
      </w:pPr>
      <w:r>
        <w:rPr>
          <w:rFonts w:ascii="Calibri" w:eastAsia="Calibri" w:hAnsi="Calibri" w:cs="Calibri"/>
        </w:rPr>
        <w:t xml:space="preserve">Rashodi za materijal i energiju ostvareni su u iznosu </w:t>
      </w:r>
      <w:r w:rsidR="00E002DF">
        <w:rPr>
          <w:rFonts w:ascii="Calibri" w:eastAsia="Calibri" w:hAnsi="Calibri" w:cs="Calibri"/>
        </w:rPr>
        <w:t>110.356</w:t>
      </w:r>
      <w:r>
        <w:rPr>
          <w:rFonts w:ascii="Calibri" w:eastAsia="Calibri" w:hAnsi="Calibri" w:cs="Calibri"/>
        </w:rPr>
        <w:t xml:space="preserve"> kuna što je </w:t>
      </w:r>
      <w:r w:rsidR="00E002DF">
        <w:rPr>
          <w:rFonts w:ascii="Calibri" w:eastAsia="Calibri" w:hAnsi="Calibri" w:cs="Calibri"/>
        </w:rPr>
        <w:t>94,3</w:t>
      </w:r>
      <w:r>
        <w:rPr>
          <w:rFonts w:ascii="Calibri" w:eastAsia="Calibri" w:hAnsi="Calibri" w:cs="Calibri"/>
        </w:rPr>
        <w:t xml:space="preserve">% rashoda ostvarenih prethodne godine. </w:t>
      </w:r>
    </w:p>
    <w:p w14:paraId="1E058B1B" w14:textId="6921A942" w:rsidR="000603F1" w:rsidRDefault="000603F1" w:rsidP="00046FA9">
      <w:pPr>
        <w:spacing w:line="240" w:lineRule="auto"/>
        <w:jc w:val="both"/>
        <w:rPr>
          <w:rFonts w:ascii="Calibri" w:eastAsia="Calibri" w:hAnsi="Calibri" w:cs="Calibri"/>
        </w:rPr>
      </w:pPr>
      <w:r>
        <w:rPr>
          <w:rFonts w:ascii="Calibri" w:eastAsia="Calibri" w:hAnsi="Calibri" w:cs="Calibri"/>
        </w:rPr>
        <w:t>Rashodi za uredski materijal i ostali materijalni rashodi iznose 47,9% rashoda prethodne godine</w:t>
      </w:r>
      <w:r w:rsidR="00364337">
        <w:rPr>
          <w:rFonts w:ascii="Calibri" w:eastAsia="Calibri" w:hAnsi="Calibri" w:cs="Calibri"/>
        </w:rPr>
        <w:t>. Navedeno smanjenje je posljedica digitalizacije poslovnih procesa.</w:t>
      </w:r>
    </w:p>
    <w:p w14:paraId="4B6726DD" w14:textId="1AD04CFA" w:rsidR="00364337" w:rsidRPr="00725FFA" w:rsidRDefault="00364337" w:rsidP="00046FA9">
      <w:pPr>
        <w:spacing w:line="240" w:lineRule="auto"/>
        <w:jc w:val="both"/>
        <w:rPr>
          <w:rFonts w:ascii="Calibri" w:eastAsia="Calibri" w:hAnsi="Calibri" w:cs="Calibri"/>
        </w:rPr>
      </w:pPr>
      <w:r>
        <w:rPr>
          <w:rFonts w:ascii="Calibri" w:eastAsia="Calibri" w:hAnsi="Calibri" w:cs="Calibri"/>
        </w:rPr>
        <w:t>Rashodi za energiju povećani su za 36,9% u odnosu na prethodnu godinu zbog velikog povećanja cijena električne energije</w:t>
      </w:r>
      <w:r w:rsidR="007150CF">
        <w:rPr>
          <w:rFonts w:ascii="Calibri" w:eastAsia="Calibri" w:hAnsi="Calibri" w:cs="Calibri"/>
        </w:rPr>
        <w:t xml:space="preserve">, </w:t>
      </w:r>
      <w:r>
        <w:rPr>
          <w:rFonts w:ascii="Calibri" w:eastAsia="Calibri" w:hAnsi="Calibri" w:cs="Calibri"/>
        </w:rPr>
        <w:t>plina</w:t>
      </w:r>
      <w:r w:rsidR="007150CF">
        <w:rPr>
          <w:rFonts w:ascii="Calibri" w:eastAsia="Calibri" w:hAnsi="Calibri" w:cs="Calibri"/>
        </w:rPr>
        <w:t xml:space="preserve"> i motornog benzina i dizel goriva.</w:t>
      </w:r>
    </w:p>
    <w:p w14:paraId="5904FA69" w14:textId="55377990" w:rsidR="00245617" w:rsidRDefault="00245617" w:rsidP="00B254BB">
      <w:pPr>
        <w:spacing w:line="240" w:lineRule="auto"/>
        <w:jc w:val="both"/>
        <w:rPr>
          <w:rFonts w:ascii="Calibri" w:eastAsia="Calibri" w:hAnsi="Calibri" w:cs="Calibri"/>
          <w:b/>
        </w:rPr>
      </w:pPr>
      <w:r>
        <w:rPr>
          <w:rFonts w:ascii="Calibri" w:eastAsia="Calibri" w:hAnsi="Calibri" w:cs="Calibri"/>
          <w:b/>
        </w:rPr>
        <w:t xml:space="preserve">Bilješka </w:t>
      </w:r>
      <w:r w:rsidR="00725FFA">
        <w:rPr>
          <w:rFonts w:ascii="Calibri" w:eastAsia="Calibri" w:hAnsi="Calibri" w:cs="Calibri"/>
          <w:b/>
        </w:rPr>
        <w:t>broj 1</w:t>
      </w:r>
      <w:r w:rsidR="000603F1">
        <w:rPr>
          <w:rFonts w:ascii="Calibri" w:eastAsia="Calibri" w:hAnsi="Calibri" w:cs="Calibri"/>
          <w:b/>
        </w:rPr>
        <w:t>5</w:t>
      </w:r>
      <w:r w:rsidR="00725FFA">
        <w:rPr>
          <w:rFonts w:ascii="Calibri" w:eastAsia="Calibri" w:hAnsi="Calibri" w:cs="Calibri"/>
          <w:b/>
        </w:rPr>
        <w:t xml:space="preserve"> – vezana uz AOP 17</w:t>
      </w:r>
      <w:r w:rsidR="007150CF">
        <w:rPr>
          <w:rFonts w:ascii="Calibri" w:eastAsia="Calibri" w:hAnsi="Calibri" w:cs="Calibri"/>
          <w:b/>
        </w:rPr>
        <w:t>2</w:t>
      </w:r>
    </w:p>
    <w:p w14:paraId="2F0763B7" w14:textId="14E0EA58" w:rsidR="00725FFA" w:rsidRDefault="00912D20" w:rsidP="00B254BB">
      <w:pPr>
        <w:spacing w:line="240" w:lineRule="auto"/>
        <w:jc w:val="both"/>
        <w:rPr>
          <w:rFonts w:ascii="Calibri" w:eastAsia="Calibri" w:hAnsi="Calibri" w:cs="Calibri"/>
        </w:rPr>
      </w:pPr>
      <w:r>
        <w:rPr>
          <w:rFonts w:ascii="Calibri" w:eastAsia="Calibri" w:hAnsi="Calibri" w:cs="Calibri"/>
        </w:rPr>
        <w:t xml:space="preserve">Rashodi za usluge ostvareni su u iznosu </w:t>
      </w:r>
      <w:r w:rsidR="007150CF">
        <w:rPr>
          <w:rFonts w:ascii="Calibri" w:eastAsia="Calibri" w:hAnsi="Calibri" w:cs="Calibri"/>
        </w:rPr>
        <w:t>272.781</w:t>
      </w:r>
      <w:r w:rsidR="00046FA9">
        <w:rPr>
          <w:rFonts w:ascii="Calibri" w:eastAsia="Calibri" w:hAnsi="Calibri" w:cs="Calibri"/>
        </w:rPr>
        <w:t xml:space="preserve"> kuna što je </w:t>
      </w:r>
      <w:r w:rsidR="007150CF">
        <w:rPr>
          <w:rFonts w:ascii="Calibri" w:eastAsia="Calibri" w:hAnsi="Calibri" w:cs="Calibri"/>
        </w:rPr>
        <w:t>43,20</w:t>
      </w:r>
      <w:r w:rsidR="00046FA9">
        <w:rPr>
          <w:rFonts w:ascii="Calibri" w:eastAsia="Calibri" w:hAnsi="Calibri" w:cs="Calibri"/>
        </w:rPr>
        <w:t>% rashoda ostvarenih prethodne godine.</w:t>
      </w:r>
    </w:p>
    <w:p w14:paraId="49892797" w14:textId="2A6A4638" w:rsidR="009C0C9F" w:rsidRDefault="009C0C9F" w:rsidP="00B254BB">
      <w:pPr>
        <w:spacing w:line="240" w:lineRule="auto"/>
        <w:jc w:val="both"/>
        <w:rPr>
          <w:rFonts w:ascii="Calibri" w:eastAsia="Calibri" w:hAnsi="Calibri" w:cs="Calibri"/>
        </w:rPr>
      </w:pPr>
      <w:r>
        <w:rPr>
          <w:rFonts w:ascii="Calibri" w:eastAsia="Calibri" w:hAnsi="Calibri" w:cs="Calibri"/>
        </w:rPr>
        <w:t xml:space="preserve">Razlika se najvećim dijelom odnosi na </w:t>
      </w:r>
      <w:r w:rsidR="007150CF">
        <w:rPr>
          <w:rFonts w:ascii="Calibri" w:eastAsia="Calibri" w:hAnsi="Calibri" w:cs="Calibri"/>
        </w:rPr>
        <w:t>promidžbene materijale</w:t>
      </w:r>
      <w:r w:rsidR="009665F4">
        <w:rPr>
          <w:rFonts w:ascii="Calibri" w:eastAsia="Calibri" w:hAnsi="Calibri" w:cs="Calibri"/>
        </w:rPr>
        <w:t>, elektronske medije i tisak koji su dio vidljivosti provedbe svakog projekta, a zbog završetka provedbi projekata nije bilo potrebe za nabavom istih.</w:t>
      </w:r>
    </w:p>
    <w:p w14:paraId="4A149A80" w14:textId="3B190D6C" w:rsidR="009665F4" w:rsidRDefault="009665F4" w:rsidP="00B254BB">
      <w:pPr>
        <w:spacing w:line="240" w:lineRule="auto"/>
        <w:jc w:val="both"/>
        <w:rPr>
          <w:rFonts w:ascii="Calibri" w:eastAsia="Calibri" w:hAnsi="Calibri" w:cs="Calibri"/>
        </w:rPr>
      </w:pPr>
      <w:r>
        <w:rPr>
          <w:rFonts w:ascii="Calibri" w:eastAsia="Calibri" w:hAnsi="Calibri" w:cs="Calibri"/>
        </w:rPr>
        <w:t>Intelektualne usluge nisu izvršene u 2021. godini te su ankesom ugovora prebačene u sljedeću poslovnu godinu.</w:t>
      </w:r>
    </w:p>
    <w:p w14:paraId="7C0A9B91" w14:textId="0C2DD119" w:rsidR="004D6482" w:rsidRDefault="004D6482" w:rsidP="00B254BB">
      <w:pPr>
        <w:spacing w:line="240" w:lineRule="auto"/>
        <w:jc w:val="both"/>
        <w:rPr>
          <w:rFonts w:ascii="Calibri" w:eastAsia="Calibri" w:hAnsi="Calibri" w:cs="Calibri"/>
          <w:b/>
          <w:bCs/>
        </w:rPr>
      </w:pPr>
      <w:r>
        <w:rPr>
          <w:rFonts w:ascii="Calibri" w:eastAsia="Calibri" w:hAnsi="Calibri" w:cs="Calibri"/>
          <w:b/>
          <w:bCs/>
        </w:rPr>
        <w:lastRenderedPageBreak/>
        <w:t>Bilješka broj 1</w:t>
      </w:r>
      <w:r w:rsidR="009665F4">
        <w:rPr>
          <w:rFonts w:ascii="Calibri" w:eastAsia="Calibri" w:hAnsi="Calibri" w:cs="Calibri"/>
          <w:b/>
          <w:bCs/>
        </w:rPr>
        <w:t>6</w:t>
      </w:r>
      <w:r>
        <w:rPr>
          <w:rFonts w:ascii="Calibri" w:eastAsia="Calibri" w:hAnsi="Calibri" w:cs="Calibri"/>
          <w:b/>
          <w:bCs/>
        </w:rPr>
        <w:t xml:space="preserve"> – vezana uz AOP 18</w:t>
      </w:r>
      <w:r w:rsidR="00FB0883">
        <w:rPr>
          <w:rFonts w:ascii="Calibri" w:eastAsia="Calibri" w:hAnsi="Calibri" w:cs="Calibri"/>
          <w:b/>
          <w:bCs/>
        </w:rPr>
        <w:t>6</w:t>
      </w:r>
    </w:p>
    <w:p w14:paraId="7664241F" w14:textId="3219B5B6" w:rsidR="004D6482" w:rsidRPr="004D6482" w:rsidRDefault="004D6482" w:rsidP="00B254BB">
      <w:pPr>
        <w:spacing w:line="240" w:lineRule="auto"/>
        <w:jc w:val="both"/>
        <w:rPr>
          <w:rFonts w:ascii="Calibri" w:eastAsia="Calibri" w:hAnsi="Calibri" w:cs="Calibri"/>
        </w:rPr>
      </w:pPr>
      <w:r>
        <w:rPr>
          <w:rFonts w:ascii="Calibri" w:eastAsia="Calibri" w:hAnsi="Calibri" w:cs="Calibri"/>
        </w:rPr>
        <w:t xml:space="preserve">Rashodi za reprezentaciju iznosili su </w:t>
      </w:r>
      <w:r w:rsidR="00FB0883">
        <w:rPr>
          <w:rFonts w:ascii="Calibri" w:eastAsia="Calibri" w:hAnsi="Calibri" w:cs="Calibri"/>
        </w:rPr>
        <w:t xml:space="preserve">7.172 </w:t>
      </w:r>
      <w:r>
        <w:rPr>
          <w:rFonts w:ascii="Calibri" w:eastAsia="Calibri" w:hAnsi="Calibri" w:cs="Calibri"/>
        </w:rPr>
        <w:t xml:space="preserve">kune što je </w:t>
      </w:r>
      <w:r w:rsidR="00FB0883">
        <w:rPr>
          <w:rFonts w:ascii="Calibri" w:eastAsia="Calibri" w:hAnsi="Calibri" w:cs="Calibri"/>
        </w:rPr>
        <w:t>31,0</w:t>
      </w:r>
      <w:r>
        <w:rPr>
          <w:rFonts w:ascii="Calibri" w:eastAsia="Calibri" w:hAnsi="Calibri" w:cs="Calibri"/>
        </w:rPr>
        <w:t xml:space="preserve">% rashoda ostvarenih prethodne godine. </w:t>
      </w:r>
      <w:r w:rsidR="00FB0883">
        <w:rPr>
          <w:rFonts w:ascii="Calibri" w:eastAsia="Calibri" w:hAnsi="Calibri" w:cs="Calibri"/>
        </w:rPr>
        <w:t>Završetak provedbi projekata i p</w:t>
      </w:r>
      <w:r>
        <w:rPr>
          <w:rFonts w:ascii="Calibri" w:eastAsia="Calibri" w:hAnsi="Calibri" w:cs="Calibri"/>
        </w:rPr>
        <w:t>andemija Covid-19 utjecal</w:t>
      </w:r>
      <w:r w:rsidR="00FB0883">
        <w:rPr>
          <w:rFonts w:ascii="Calibri" w:eastAsia="Calibri" w:hAnsi="Calibri" w:cs="Calibri"/>
        </w:rPr>
        <w:t xml:space="preserve">i su </w:t>
      </w:r>
      <w:r>
        <w:rPr>
          <w:rFonts w:ascii="Calibri" w:eastAsia="Calibri" w:hAnsi="Calibri" w:cs="Calibri"/>
        </w:rPr>
        <w:t>na smanjenje ovih rashoda.</w:t>
      </w:r>
    </w:p>
    <w:p w14:paraId="252176A7" w14:textId="16B9A285" w:rsidR="00BC725A" w:rsidRDefault="00BC725A" w:rsidP="00B254BB">
      <w:pPr>
        <w:spacing w:line="240" w:lineRule="auto"/>
        <w:jc w:val="both"/>
        <w:rPr>
          <w:rFonts w:ascii="Calibri" w:eastAsia="Calibri" w:hAnsi="Calibri" w:cs="Calibri"/>
          <w:b/>
        </w:rPr>
      </w:pPr>
      <w:r>
        <w:rPr>
          <w:rFonts w:ascii="Calibri" w:eastAsia="Calibri" w:hAnsi="Calibri" w:cs="Calibri"/>
          <w:b/>
        </w:rPr>
        <w:t>Bilješka broj 1</w:t>
      </w:r>
      <w:r w:rsidR="00FB0883">
        <w:rPr>
          <w:rFonts w:ascii="Calibri" w:eastAsia="Calibri" w:hAnsi="Calibri" w:cs="Calibri"/>
          <w:b/>
        </w:rPr>
        <w:t>7</w:t>
      </w:r>
      <w:r>
        <w:rPr>
          <w:rFonts w:ascii="Calibri" w:eastAsia="Calibri" w:hAnsi="Calibri" w:cs="Calibri"/>
          <w:b/>
        </w:rPr>
        <w:t xml:space="preserve"> – vezana uz AOP 1</w:t>
      </w:r>
      <w:r w:rsidR="00FB0883">
        <w:rPr>
          <w:rFonts w:ascii="Calibri" w:eastAsia="Calibri" w:hAnsi="Calibri" w:cs="Calibri"/>
          <w:b/>
        </w:rPr>
        <w:t>88</w:t>
      </w:r>
    </w:p>
    <w:p w14:paraId="7EE37700" w14:textId="48AA6498" w:rsidR="00BC725A" w:rsidRDefault="00BC725A" w:rsidP="00B254BB">
      <w:pPr>
        <w:spacing w:line="240" w:lineRule="auto"/>
        <w:jc w:val="both"/>
        <w:rPr>
          <w:rFonts w:ascii="Calibri" w:eastAsia="Calibri" w:hAnsi="Calibri" w:cs="Calibri"/>
          <w:bCs/>
        </w:rPr>
      </w:pPr>
      <w:r>
        <w:rPr>
          <w:rFonts w:ascii="Calibri" w:eastAsia="Calibri" w:hAnsi="Calibri" w:cs="Calibri"/>
          <w:bCs/>
        </w:rPr>
        <w:t xml:space="preserve">Rashodi za pristojbe i naknade iznosili su </w:t>
      </w:r>
      <w:r w:rsidR="00FB0883">
        <w:rPr>
          <w:rFonts w:ascii="Calibri" w:eastAsia="Calibri" w:hAnsi="Calibri" w:cs="Calibri"/>
          <w:bCs/>
        </w:rPr>
        <w:t>155</w:t>
      </w:r>
      <w:r>
        <w:rPr>
          <w:rFonts w:ascii="Calibri" w:eastAsia="Calibri" w:hAnsi="Calibri" w:cs="Calibri"/>
          <w:bCs/>
        </w:rPr>
        <w:t xml:space="preserve"> kuna što je </w:t>
      </w:r>
      <w:r w:rsidR="00FB0883">
        <w:rPr>
          <w:rFonts w:ascii="Calibri" w:eastAsia="Calibri" w:hAnsi="Calibri" w:cs="Calibri"/>
          <w:bCs/>
        </w:rPr>
        <w:t>2,6</w:t>
      </w:r>
      <w:r>
        <w:rPr>
          <w:rFonts w:ascii="Calibri" w:eastAsia="Calibri" w:hAnsi="Calibri" w:cs="Calibri"/>
          <w:bCs/>
        </w:rPr>
        <w:t>% rashoda ostvarenih prethodne godine. Razlog smanjenja ovih rashoda je taj što su ostvareni uvjeti da VIDRA-Agencija za regionalni razvoj Virovitičko-podravske županije kao poslodavac nije obavezan uplaćivati novčanu naknadu poslodavca zbog nezapošljavanja osoba s invaliditetom jer je jednoj djelatnici priznat invaliditet.</w:t>
      </w:r>
    </w:p>
    <w:p w14:paraId="4BE2022B" w14:textId="387A1B7D" w:rsidR="00FB0883" w:rsidRDefault="00FB0883" w:rsidP="00B254BB">
      <w:pPr>
        <w:spacing w:line="240" w:lineRule="auto"/>
        <w:jc w:val="both"/>
        <w:rPr>
          <w:rFonts w:ascii="Calibri" w:eastAsia="Calibri" w:hAnsi="Calibri" w:cs="Calibri"/>
          <w:bCs/>
        </w:rPr>
      </w:pPr>
    </w:p>
    <w:p w14:paraId="3F7D6B85" w14:textId="77777777" w:rsidR="00FB0883" w:rsidRPr="00BC725A" w:rsidRDefault="00FB0883" w:rsidP="00B254BB">
      <w:pPr>
        <w:spacing w:line="240" w:lineRule="auto"/>
        <w:jc w:val="both"/>
        <w:rPr>
          <w:rFonts w:ascii="Calibri" w:eastAsia="Calibri" w:hAnsi="Calibri" w:cs="Calibri"/>
          <w:bCs/>
        </w:rPr>
      </w:pPr>
    </w:p>
    <w:p w14:paraId="2DC0A9F8" w14:textId="417586B9" w:rsidR="00202C81" w:rsidRDefault="00202C81" w:rsidP="00B254BB">
      <w:pPr>
        <w:spacing w:line="240" w:lineRule="auto"/>
        <w:jc w:val="both"/>
        <w:rPr>
          <w:rFonts w:ascii="Calibri" w:eastAsia="Calibri" w:hAnsi="Calibri" w:cs="Calibri"/>
          <w:b/>
        </w:rPr>
      </w:pPr>
      <w:r>
        <w:rPr>
          <w:rFonts w:ascii="Calibri" w:eastAsia="Calibri" w:hAnsi="Calibri" w:cs="Calibri"/>
          <w:b/>
        </w:rPr>
        <w:t>Bilj</w:t>
      </w:r>
      <w:r w:rsidR="009C0C9F">
        <w:rPr>
          <w:rFonts w:ascii="Calibri" w:eastAsia="Calibri" w:hAnsi="Calibri" w:cs="Calibri"/>
          <w:b/>
        </w:rPr>
        <w:t xml:space="preserve">eška broj </w:t>
      </w:r>
      <w:r w:rsidR="00513028">
        <w:rPr>
          <w:rFonts w:ascii="Calibri" w:eastAsia="Calibri" w:hAnsi="Calibri" w:cs="Calibri"/>
          <w:b/>
        </w:rPr>
        <w:t>18</w:t>
      </w:r>
      <w:r w:rsidR="009C0C9F">
        <w:rPr>
          <w:rFonts w:ascii="Calibri" w:eastAsia="Calibri" w:hAnsi="Calibri" w:cs="Calibri"/>
          <w:b/>
        </w:rPr>
        <w:t xml:space="preserve"> – vezana uz AOP 20</w:t>
      </w:r>
      <w:r w:rsidR="00513028">
        <w:rPr>
          <w:rFonts w:ascii="Calibri" w:eastAsia="Calibri" w:hAnsi="Calibri" w:cs="Calibri"/>
          <w:b/>
        </w:rPr>
        <w:t>7</w:t>
      </w:r>
    </w:p>
    <w:p w14:paraId="311D86B0" w14:textId="781D953B" w:rsidR="00AC2FA5" w:rsidRPr="00AC2FA5" w:rsidRDefault="00AC2FA5" w:rsidP="00B254BB">
      <w:pPr>
        <w:spacing w:line="240" w:lineRule="auto"/>
        <w:jc w:val="both"/>
        <w:rPr>
          <w:rFonts w:ascii="Calibri" w:eastAsia="Calibri" w:hAnsi="Calibri" w:cs="Calibri"/>
          <w:bCs/>
        </w:rPr>
      </w:pPr>
      <w:r>
        <w:rPr>
          <w:rFonts w:ascii="Calibri" w:eastAsia="Calibri" w:hAnsi="Calibri" w:cs="Calibri"/>
          <w:bCs/>
        </w:rPr>
        <w:t xml:space="preserve">Rashodi za negativne tečajne razlike i razlike zbog promjene valutne kaluzule ostvareni su u iznosu </w:t>
      </w:r>
      <w:r w:rsidR="00513028">
        <w:rPr>
          <w:rFonts w:ascii="Calibri" w:eastAsia="Calibri" w:hAnsi="Calibri" w:cs="Calibri"/>
          <w:bCs/>
        </w:rPr>
        <w:t>1.672</w:t>
      </w:r>
      <w:r>
        <w:rPr>
          <w:rFonts w:ascii="Calibri" w:eastAsia="Calibri" w:hAnsi="Calibri" w:cs="Calibri"/>
          <w:bCs/>
        </w:rPr>
        <w:t xml:space="preserve"> kun</w:t>
      </w:r>
      <w:r w:rsidR="00513028">
        <w:rPr>
          <w:rFonts w:ascii="Calibri" w:eastAsia="Calibri" w:hAnsi="Calibri" w:cs="Calibri"/>
          <w:bCs/>
        </w:rPr>
        <w:t>e</w:t>
      </w:r>
      <w:r>
        <w:rPr>
          <w:rFonts w:ascii="Calibri" w:eastAsia="Calibri" w:hAnsi="Calibri" w:cs="Calibri"/>
          <w:bCs/>
        </w:rPr>
        <w:t xml:space="preserve">, dok su prethodne godine iznosili </w:t>
      </w:r>
      <w:r w:rsidR="00513028">
        <w:rPr>
          <w:rFonts w:ascii="Calibri" w:eastAsia="Calibri" w:hAnsi="Calibri" w:cs="Calibri"/>
          <w:bCs/>
        </w:rPr>
        <w:t xml:space="preserve">411 </w:t>
      </w:r>
      <w:r>
        <w:rPr>
          <w:rFonts w:ascii="Calibri" w:eastAsia="Calibri" w:hAnsi="Calibri" w:cs="Calibri"/>
          <w:bCs/>
        </w:rPr>
        <w:t>kun</w:t>
      </w:r>
      <w:r w:rsidR="00513028">
        <w:rPr>
          <w:rFonts w:ascii="Calibri" w:eastAsia="Calibri" w:hAnsi="Calibri" w:cs="Calibri"/>
          <w:bCs/>
        </w:rPr>
        <w:t>a</w:t>
      </w:r>
      <w:r>
        <w:rPr>
          <w:rFonts w:ascii="Calibri" w:eastAsia="Calibri" w:hAnsi="Calibri" w:cs="Calibri"/>
          <w:bCs/>
        </w:rPr>
        <w:t>. Ovi su rashodi nastali zbog konverzije eura u kune na žiro</w:t>
      </w:r>
      <w:r w:rsidR="003A2AA3">
        <w:rPr>
          <w:rFonts w:ascii="Calibri" w:eastAsia="Calibri" w:hAnsi="Calibri" w:cs="Calibri"/>
          <w:bCs/>
        </w:rPr>
        <w:t xml:space="preserve"> </w:t>
      </w:r>
      <w:r>
        <w:rPr>
          <w:rFonts w:ascii="Calibri" w:eastAsia="Calibri" w:hAnsi="Calibri" w:cs="Calibri"/>
          <w:bCs/>
        </w:rPr>
        <w:t>računu.</w:t>
      </w:r>
    </w:p>
    <w:p w14:paraId="46547216" w14:textId="52FFF317" w:rsidR="00575D5C" w:rsidRDefault="00575D5C" w:rsidP="00202C81">
      <w:pPr>
        <w:spacing w:line="240" w:lineRule="auto"/>
        <w:jc w:val="both"/>
        <w:rPr>
          <w:rFonts w:ascii="Calibri" w:eastAsia="Calibri" w:hAnsi="Calibri" w:cs="Calibri"/>
          <w:b/>
        </w:rPr>
      </w:pPr>
      <w:r w:rsidRPr="00590B67">
        <w:rPr>
          <w:rFonts w:ascii="Calibri" w:eastAsia="Calibri" w:hAnsi="Calibri" w:cs="Calibri"/>
          <w:b/>
        </w:rPr>
        <w:t xml:space="preserve">Bilješka broj </w:t>
      </w:r>
      <w:r w:rsidR="00513028">
        <w:rPr>
          <w:rFonts w:ascii="Calibri" w:eastAsia="Calibri" w:hAnsi="Calibri" w:cs="Calibri"/>
          <w:b/>
        </w:rPr>
        <w:t>19</w:t>
      </w:r>
      <w:r w:rsidRPr="00590B67">
        <w:rPr>
          <w:rFonts w:ascii="Calibri" w:eastAsia="Calibri" w:hAnsi="Calibri" w:cs="Calibri"/>
          <w:b/>
        </w:rPr>
        <w:t xml:space="preserve"> – vezana uz AOP </w:t>
      </w:r>
      <w:r w:rsidR="00D82BFB">
        <w:rPr>
          <w:rFonts w:ascii="Calibri" w:eastAsia="Calibri" w:hAnsi="Calibri" w:cs="Calibri"/>
          <w:b/>
        </w:rPr>
        <w:t>34</w:t>
      </w:r>
      <w:r w:rsidR="00513028">
        <w:rPr>
          <w:rFonts w:ascii="Calibri" w:eastAsia="Calibri" w:hAnsi="Calibri" w:cs="Calibri"/>
          <w:b/>
        </w:rPr>
        <w:t>4</w:t>
      </w:r>
    </w:p>
    <w:p w14:paraId="30A9875E" w14:textId="39B55A6A" w:rsidR="00D82BFB" w:rsidRDefault="00D82BFB" w:rsidP="00202C81">
      <w:pPr>
        <w:spacing w:line="240" w:lineRule="auto"/>
        <w:jc w:val="both"/>
        <w:rPr>
          <w:rFonts w:ascii="Calibri" w:eastAsia="Calibri" w:hAnsi="Calibri" w:cs="Calibri"/>
        </w:rPr>
      </w:pPr>
      <w:r>
        <w:rPr>
          <w:rFonts w:ascii="Calibri" w:eastAsia="Calibri" w:hAnsi="Calibri" w:cs="Calibri"/>
        </w:rPr>
        <w:t xml:space="preserve">Rashodi za nabavu nefinancijske imovine ostvareni su u iznosu </w:t>
      </w:r>
      <w:r w:rsidR="00513028">
        <w:rPr>
          <w:rFonts w:ascii="Calibri" w:eastAsia="Calibri" w:hAnsi="Calibri" w:cs="Calibri"/>
        </w:rPr>
        <w:t>1.703.398</w:t>
      </w:r>
      <w:r w:rsidR="008C4741">
        <w:rPr>
          <w:rFonts w:ascii="Calibri" w:eastAsia="Calibri" w:hAnsi="Calibri" w:cs="Calibri"/>
        </w:rPr>
        <w:t xml:space="preserve"> kuna</w:t>
      </w:r>
      <w:r w:rsidR="00513028">
        <w:rPr>
          <w:rFonts w:ascii="Calibri" w:eastAsia="Calibri" w:hAnsi="Calibri" w:cs="Calibri"/>
        </w:rPr>
        <w:t>.</w:t>
      </w:r>
    </w:p>
    <w:p w14:paraId="72BADEA9" w14:textId="556EA582" w:rsidR="00D82BFB" w:rsidRDefault="00D82BFB" w:rsidP="00202C81">
      <w:pPr>
        <w:spacing w:line="240" w:lineRule="auto"/>
        <w:jc w:val="both"/>
        <w:rPr>
          <w:rFonts w:ascii="Calibri" w:eastAsia="Calibri" w:hAnsi="Calibri" w:cs="Calibri"/>
        </w:rPr>
      </w:pPr>
      <w:r>
        <w:rPr>
          <w:rFonts w:ascii="Calibri" w:eastAsia="Calibri" w:hAnsi="Calibri" w:cs="Calibri"/>
        </w:rPr>
        <w:t xml:space="preserve">Odnose se </w:t>
      </w:r>
      <w:r w:rsidR="00513028">
        <w:rPr>
          <w:rFonts w:ascii="Calibri" w:eastAsia="Calibri" w:hAnsi="Calibri" w:cs="Calibri"/>
        </w:rPr>
        <w:t xml:space="preserve">najvećim dijelom na rashode za nabavu neproizvedene dugotrajne imovine, odnosno ulaganja na tuđoj imovine radi prava korištenje (sanacija podruma zgrade </w:t>
      </w:r>
      <w:r w:rsidR="007321F9">
        <w:rPr>
          <w:rFonts w:ascii="Calibri" w:eastAsia="Calibri" w:hAnsi="Calibri" w:cs="Calibri"/>
        </w:rPr>
        <w:t xml:space="preserve">sjedišta agencija koja je u vlasništvu Virovitičko-podravske županije) u iznosu 1.640.120 kuna, </w:t>
      </w:r>
      <w:r>
        <w:rPr>
          <w:rFonts w:ascii="Calibri" w:eastAsia="Calibri" w:hAnsi="Calibri" w:cs="Calibri"/>
        </w:rPr>
        <w:t xml:space="preserve">na nabave računala i računalne opreme u iznosu </w:t>
      </w:r>
      <w:r w:rsidR="007321F9">
        <w:rPr>
          <w:rFonts w:ascii="Calibri" w:eastAsia="Calibri" w:hAnsi="Calibri" w:cs="Calibri"/>
        </w:rPr>
        <w:t>15.431</w:t>
      </w:r>
      <w:r>
        <w:rPr>
          <w:rFonts w:ascii="Calibri" w:eastAsia="Calibri" w:hAnsi="Calibri" w:cs="Calibri"/>
        </w:rPr>
        <w:t xml:space="preserve"> kun</w:t>
      </w:r>
      <w:r w:rsidR="007321F9">
        <w:rPr>
          <w:rFonts w:ascii="Calibri" w:eastAsia="Calibri" w:hAnsi="Calibri" w:cs="Calibri"/>
        </w:rPr>
        <w:t>a</w:t>
      </w:r>
      <w:r>
        <w:rPr>
          <w:rFonts w:ascii="Calibri" w:eastAsia="Calibri" w:hAnsi="Calibri" w:cs="Calibri"/>
        </w:rPr>
        <w:t xml:space="preserve">, uredskog namještaja u iznosu </w:t>
      </w:r>
      <w:r w:rsidR="008C4741">
        <w:rPr>
          <w:rFonts w:ascii="Calibri" w:eastAsia="Calibri" w:hAnsi="Calibri" w:cs="Calibri"/>
        </w:rPr>
        <w:t>1</w:t>
      </w:r>
      <w:r w:rsidR="007321F9">
        <w:rPr>
          <w:rFonts w:ascii="Calibri" w:eastAsia="Calibri" w:hAnsi="Calibri" w:cs="Calibri"/>
        </w:rPr>
        <w:t>8.847</w:t>
      </w:r>
      <w:r>
        <w:rPr>
          <w:rFonts w:ascii="Calibri" w:eastAsia="Calibri" w:hAnsi="Calibri" w:cs="Calibri"/>
        </w:rPr>
        <w:t xml:space="preserve"> kuna</w:t>
      </w:r>
      <w:r w:rsidR="007321F9">
        <w:rPr>
          <w:rFonts w:ascii="Calibri" w:eastAsia="Calibri" w:hAnsi="Calibri" w:cs="Calibri"/>
        </w:rPr>
        <w:t xml:space="preserve"> i</w:t>
      </w:r>
      <w:r>
        <w:rPr>
          <w:rFonts w:ascii="Calibri" w:eastAsia="Calibri" w:hAnsi="Calibri" w:cs="Calibri"/>
        </w:rPr>
        <w:t xml:space="preserve"> mobilnih uređaja u iznosu </w:t>
      </w:r>
      <w:r w:rsidR="007321F9">
        <w:rPr>
          <w:rFonts w:ascii="Calibri" w:eastAsia="Calibri" w:hAnsi="Calibri" w:cs="Calibri"/>
        </w:rPr>
        <w:t>29.000</w:t>
      </w:r>
      <w:r>
        <w:rPr>
          <w:rFonts w:ascii="Calibri" w:eastAsia="Calibri" w:hAnsi="Calibri" w:cs="Calibri"/>
        </w:rPr>
        <w:t xml:space="preserve"> kuna.</w:t>
      </w:r>
    </w:p>
    <w:p w14:paraId="05FCFE79" w14:textId="4571A261" w:rsidR="00D82BFB" w:rsidRDefault="00D82BFB" w:rsidP="00202C81">
      <w:pPr>
        <w:spacing w:line="240" w:lineRule="auto"/>
        <w:jc w:val="both"/>
        <w:rPr>
          <w:rFonts w:ascii="Calibri" w:eastAsia="Calibri" w:hAnsi="Calibri" w:cs="Calibri"/>
          <w:b/>
        </w:rPr>
      </w:pPr>
      <w:r>
        <w:rPr>
          <w:rFonts w:ascii="Calibri" w:eastAsia="Calibri" w:hAnsi="Calibri" w:cs="Calibri"/>
          <w:b/>
        </w:rPr>
        <w:lastRenderedPageBreak/>
        <w:t>Bilješka broj 2</w:t>
      </w:r>
      <w:r w:rsidR="002C2D89">
        <w:rPr>
          <w:rFonts w:ascii="Calibri" w:eastAsia="Calibri" w:hAnsi="Calibri" w:cs="Calibri"/>
          <w:b/>
        </w:rPr>
        <w:t>0</w:t>
      </w:r>
      <w:r>
        <w:rPr>
          <w:rFonts w:ascii="Calibri" w:eastAsia="Calibri" w:hAnsi="Calibri" w:cs="Calibri"/>
          <w:b/>
        </w:rPr>
        <w:t xml:space="preserve"> – vezana uz AOP 6</w:t>
      </w:r>
      <w:r w:rsidR="002C2D89">
        <w:rPr>
          <w:rFonts w:ascii="Calibri" w:eastAsia="Calibri" w:hAnsi="Calibri" w:cs="Calibri"/>
          <w:b/>
        </w:rPr>
        <w:t>32</w:t>
      </w:r>
      <w:r>
        <w:rPr>
          <w:rFonts w:ascii="Calibri" w:eastAsia="Calibri" w:hAnsi="Calibri" w:cs="Calibri"/>
          <w:b/>
        </w:rPr>
        <w:t xml:space="preserve"> do 63</w:t>
      </w:r>
      <w:r w:rsidR="002C2D89">
        <w:rPr>
          <w:rFonts w:ascii="Calibri" w:eastAsia="Calibri" w:hAnsi="Calibri" w:cs="Calibri"/>
          <w:b/>
        </w:rPr>
        <w:t>8</w:t>
      </w:r>
    </w:p>
    <w:p w14:paraId="55BB0BD9" w14:textId="6DCA6B42" w:rsidR="00D82BFB" w:rsidRPr="00D82BFB" w:rsidRDefault="00D82BFB" w:rsidP="00202C81">
      <w:pPr>
        <w:spacing w:line="240" w:lineRule="auto"/>
        <w:jc w:val="both"/>
        <w:rPr>
          <w:rFonts w:ascii="Calibri" w:eastAsia="Calibri" w:hAnsi="Calibri" w:cs="Calibri"/>
        </w:rPr>
      </w:pPr>
      <w:r>
        <w:rPr>
          <w:rFonts w:ascii="Calibri" w:eastAsia="Calibri" w:hAnsi="Calibri" w:cs="Calibri"/>
        </w:rPr>
        <w:t xml:space="preserve">Ukupni prihodi i primici ostvareni su u iznosu </w:t>
      </w:r>
      <w:r w:rsidR="002C2D89">
        <w:rPr>
          <w:rFonts w:ascii="Calibri" w:eastAsia="Calibri" w:hAnsi="Calibri" w:cs="Calibri"/>
        </w:rPr>
        <w:t>6.124.123</w:t>
      </w:r>
      <w:r>
        <w:rPr>
          <w:rFonts w:ascii="Calibri" w:eastAsia="Calibri" w:hAnsi="Calibri" w:cs="Calibri"/>
        </w:rPr>
        <w:t xml:space="preserve"> kun</w:t>
      </w:r>
      <w:r w:rsidR="002C2D89">
        <w:rPr>
          <w:rFonts w:ascii="Calibri" w:eastAsia="Calibri" w:hAnsi="Calibri" w:cs="Calibri"/>
        </w:rPr>
        <w:t>e</w:t>
      </w:r>
      <w:r>
        <w:rPr>
          <w:rFonts w:ascii="Calibri" w:eastAsia="Calibri" w:hAnsi="Calibri" w:cs="Calibri"/>
        </w:rPr>
        <w:t xml:space="preserve">, ukupni rashodi i izdaci u iznosu </w:t>
      </w:r>
      <w:r w:rsidR="002C2D89">
        <w:rPr>
          <w:rFonts w:ascii="Calibri" w:eastAsia="Calibri" w:hAnsi="Calibri" w:cs="Calibri"/>
        </w:rPr>
        <w:t>6.935.893</w:t>
      </w:r>
      <w:r>
        <w:rPr>
          <w:rFonts w:ascii="Calibri" w:eastAsia="Calibri" w:hAnsi="Calibri" w:cs="Calibri"/>
        </w:rPr>
        <w:t xml:space="preserve"> kun</w:t>
      </w:r>
      <w:r w:rsidR="00281955">
        <w:rPr>
          <w:rFonts w:ascii="Calibri" w:eastAsia="Calibri" w:hAnsi="Calibri" w:cs="Calibri"/>
        </w:rPr>
        <w:t>e</w:t>
      </w:r>
      <w:r>
        <w:rPr>
          <w:rFonts w:ascii="Calibri" w:eastAsia="Calibri" w:hAnsi="Calibri" w:cs="Calibri"/>
        </w:rPr>
        <w:t xml:space="preserve"> što čini ukup</w:t>
      </w:r>
      <w:r w:rsidR="002C2D89">
        <w:rPr>
          <w:rFonts w:ascii="Calibri" w:eastAsia="Calibri" w:hAnsi="Calibri" w:cs="Calibri"/>
        </w:rPr>
        <w:t>an manjak</w:t>
      </w:r>
      <w:r>
        <w:rPr>
          <w:rFonts w:ascii="Calibri" w:eastAsia="Calibri" w:hAnsi="Calibri" w:cs="Calibri"/>
        </w:rPr>
        <w:t xml:space="preserve"> prihoda i primitaka u 20</w:t>
      </w:r>
      <w:r w:rsidR="00281955">
        <w:rPr>
          <w:rFonts w:ascii="Calibri" w:eastAsia="Calibri" w:hAnsi="Calibri" w:cs="Calibri"/>
        </w:rPr>
        <w:t>2</w:t>
      </w:r>
      <w:r w:rsidR="002C2D89">
        <w:rPr>
          <w:rFonts w:ascii="Calibri" w:eastAsia="Calibri" w:hAnsi="Calibri" w:cs="Calibri"/>
        </w:rPr>
        <w:t>1</w:t>
      </w:r>
      <w:r>
        <w:rPr>
          <w:rFonts w:ascii="Calibri" w:eastAsia="Calibri" w:hAnsi="Calibri" w:cs="Calibri"/>
        </w:rPr>
        <w:t xml:space="preserve">. godini od </w:t>
      </w:r>
      <w:r w:rsidR="002C2D89">
        <w:rPr>
          <w:rFonts w:ascii="Calibri" w:eastAsia="Calibri" w:hAnsi="Calibri" w:cs="Calibri"/>
        </w:rPr>
        <w:t>811.770</w:t>
      </w:r>
      <w:r>
        <w:rPr>
          <w:rFonts w:ascii="Calibri" w:eastAsia="Calibri" w:hAnsi="Calibri" w:cs="Calibri"/>
        </w:rPr>
        <w:t xml:space="preserve"> kun</w:t>
      </w:r>
      <w:r w:rsidR="00281955">
        <w:rPr>
          <w:rFonts w:ascii="Calibri" w:eastAsia="Calibri" w:hAnsi="Calibri" w:cs="Calibri"/>
        </w:rPr>
        <w:t>a</w:t>
      </w:r>
      <w:r>
        <w:rPr>
          <w:rFonts w:ascii="Calibri" w:eastAsia="Calibri" w:hAnsi="Calibri" w:cs="Calibri"/>
        </w:rPr>
        <w:t xml:space="preserve">. </w:t>
      </w:r>
      <w:r w:rsidR="00281955">
        <w:rPr>
          <w:rFonts w:ascii="Calibri" w:eastAsia="Calibri" w:hAnsi="Calibri" w:cs="Calibri"/>
        </w:rPr>
        <w:t>P</w:t>
      </w:r>
      <w:r>
        <w:rPr>
          <w:rFonts w:ascii="Calibri" w:eastAsia="Calibri" w:hAnsi="Calibri" w:cs="Calibri"/>
        </w:rPr>
        <w:t xml:space="preserve">reneseni višak prihoda i primitaka iznosi </w:t>
      </w:r>
      <w:r w:rsidR="002C2D89">
        <w:rPr>
          <w:rFonts w:ascii="Calibri" w:eastAsia="Calibri" w:hAnsi="Calibri" w:cs="Calibri"/>
        </w:rPr>
        <w:t>1.1</w:t>
      </w:r>
      <w:r w:rsidR="00E55D69">
        <w:rPr>
          <w:rFonts w:ascii="Calibri" w:eastAsia="Calibri" w:hAnsi="Calibri" w:cs="Calibri"/>
        </w:rPr>
        <w:t>38</w:t>
      </w:r>
      <w:r w:rsidR="002C2D89">
        <w:rPr>
          <w:rFonts w:ascii="Calibri" w:eastAsia="Calibri" w:hAnsi="Calibri" w:cs="Calibri"/>
        </w:rPr>
        <w:t>.</w:t>
      </w:r>
      <w:r w:rsidR="00E55D69">
        <w:rPr>
          <w:rFonts w:ascii="Calibri" w:eastAsia="Calibri" w:hAnsi="Calibri" w:cs="Calibri"/>
        </w:rPr>
        <w:t>472</w:t>
      </w:r>
      <w:r>
        <w:rPr>
          <w:rFonts w:ascii="Calibri" w:eastAsia="Calibri" w:hAnsi="Calibri" w:cs="Calibri"/>
        </w:rPr>
        <w:t xml:space="preserve"> kun</w:t>
      </w:r>
      <w:r w:rsidR="00281955">
        <w:rPr>
          <w:rFonts w:ascii="Calibri" w:eastAsia="Calibri" w:hAnsi="Calibri" w:cs="Calibri"/>
        </w:rPr>
        <w:t xml:space="preserve">a i odnosi se na preneseni višak prihoda i primitaka iz prethodnih godina u iznosu </w:t>
      </w:r>
      <w:r w:rsidR="00E55D69">
        <w:rPr>
          <w:rFonts w:ascii="Calibri" w:eastAsia="Calibri" w:hAnsi="Calibri" w:cs="Calibri"/>
        </w:rPr>
        <w:t xml:space="preserve">1.129.616 </w:t>
      </w:r>
      <w:r w:rsidR="00281955">
        <w:rPr>
          <w:rFonts w:ascii="Calibri" w:eastAsia="Calibri" w:hAnsi="Calibri" w:cs="Calibri"/>
        </w:rPr>
        <w:t xml:space="preserve"> kun</w:t>
      </w:r>
      <w:r w:rsidR="00E55D69">
        <w:rPr>
          <w:rFonts w:ascii="Calibri" w:eastAsia="Calibri" w:hAnsi="Calibri" w:cs="Calibri"/>
        </w:rPr>
        <w:t>a</w:t>
      </w:r>
      <w:r w:rsidR="00281955">
        <w:rPr>
          <w:rFonts w:ascii="Calibri" w:eastAsia="Calibri" w:hAnsi="Calibri" w:cs="Calibri"/>
        </w:rPr>
        <w:t xml:space="preserve"> i otpis</w:t>
      </w:r>
      <w:r w:rsidR="00E55D69">
        <w:rPr>
          <w:rFonts w:ascii="Calibri" w:eastAsia="Calibri" w:hAnsi="Calibri" w:cs="Calibri"/>
        </w:rPr>
        <w:t xml:space="preserve"> potraživanja i</w:t>
      </w:r>
      <w:r w:rsidR="00281955">
        <w:rPr>
          <w:rFonts w:ascii="Calibri" w:eastAsia="Calibri" w:hAnsi="Calibri" w:cs="Calibri"/>
        </w:rPr>
        <w:t xml:space="preserve"> obveza tijekom 202</w:t>
      </w:r>
      <w:r w:rsidR="00E55D69">
        <w:rPr>
          <w:rFonts w:ascii="Calibri" w:eastAsia="Calibri" w:hAnsi="Calibri" w:cs="Calibri"/>
        </w:rPr>
        <w:t>1</w:t>
      </w:r>
      <w:r w:rsidR="00281955">
        <w:rPr>
          <w:rFonts w:ascii="Calibri" w:eastAsia="Calibri" w:hAnsi="Calibri" w:cs="Calibri"/>
        </w:rPr>
        <w:t xml:space="preserve">. godine </w:t>
      </w:r>
      <w:r w:rsidR="00E55D69">
        <w:rPr>
          <w:rFonts w:ascii="Calibri" w:eastAsia="Calibri" w:hAnsi="Calibri" w:cs="Calibri"/>
        </w:rPr>
        <w:t xml:space="preserve">čija razlika povećava preneseni višak za 8.856 </w:t>
      </w:r>
      <w:r w:rsidR="00281955">
        <w:rPr>
          <w:rFonts w:ascii="Calibri" w:eastAsia="Calibri" w:hAnsi="Calibri" w:cs="Calibri"/>
        </w:rPr>
        <w:t>kuna.</w:t>
      </w:r>
      <w:r>
        <w:rPr>
          <w:rFonts w:ascii="Calibri" w:eastAsia="Calibri" w:hAnsi="Calibri" w:cs="Calibri"/>
        </w:rPr>
        <w:t xml:space="preserve"> </w:t>
      </w:r>
      <w:r w:rsidR="00281955">
        <w:rPr>
          <w:rFonts w:ascii="Calibri" w:eastAsia="Calibri" w:hAnsi="Calibri" w:cs="Calibri"/>
        </w:rPr>
        <w:t>V</w:t>
      </w:r>
      <w:r>
        <w:rPr>
          <w:rFonts w:ascii="Calibri" w:eastAsia="Calibri" w:hAnsi="Calibri" w:cs="Calibri"/>
        </w:rPr>
        <w:t xml:space="preserve">išak prihoda i primitaka raspoloživ u sljedećem razdoblju iznosi </w:t>
      </w:r>
      <w:r w:rsidR="00E55D69">
        <w:rPr>
          <w:rFonts w:ascii="Calibri" w:eastAsia="Calibri" w:hAnsi="Calibri" w:cs="Calibri"/>
        </w:rPr>
        <w:t>326.702</w:t>
      </w:r>
      <w:r>
        <w:rPr>
          <w:rFonts w:ascii="Calibri" w:eastAsia="Calibri" w:hAnsi="Calibri" w:cs="Calibri"/>
        </w:rPr>
        <w:t xml:space="preserve"> kun</w:t>
      </w:r>
      <w:r w:rsidR="00E55D69">
        <w:rPr>
          <w:rFonts w:ascii="Calibri" w:eastAsia="Calibri" w:hAnsi="Calibri" w:cs="Calibri"/>
        </w:rPr>
        <w:t>e</w:t>
      </w:r>
      <w:r>
        <w:rPr>
          <w:rFonts w:ascii="Calibri" w:eastAsia="Calibri" w:hAnsi="Calibri" w:cs="Calibri"/>
        </w:rPr>
        <w:t>.</w:t>
      </w:r>
    </w:p>
    <w:p w14:paraId="1721D49C" w14:textId="77777777" w:rsidR="008075BF" w:rsidRDefault="008075BF" w:rsidP="00202C81">
      <w:pPr>
        <w:spacing w:line="240" w:lineRule="auto"/>
        <w:jc w:val="both"/>
        <w:rPr>
          <w:rFonts w:ascii="Calibri" w:eastAsia="Calibri" w:hAnsi="Calibri" w:cs="Calibri"/>
          <w:b/>
          <w:u w:val="single"/>
        </w:rPr>
      </w:pPr>
    </w:p>
    <w:p w14:paraId="529900C4" w14:textId="300187C1" w:rsidR="00AC4DE3" w:rsidRDefault="00AC4DE3" w:rsidP="00202C81">
      <w:pPr>
        <w:spacing w:line="240" w:lineRule="auto"/>
        <w:jc w:val="both"/>
        <w:rPr>
          <w:rFonts w:ascii="Calibri" w:eastAsia="Calibri" w:hAnsi="Calibri" w:cs="Calibri"/>
          <w:b/>
          <w:u w:val="single"/>
        </w:rPr>
      </w:pPr>
      <w:r w:rsidRPr="00AC4DE3">
        <w:rPr>
          <w:rFonts w:ascii="Calibri" w:eastAsia="Calibri" w:hAnsi="Calibri" w:cs="Calibri"/>
          <w:b/>
          <w:u w:val="single"/>
        </w:rPr>
        <w:t>Bilješke uz Obrazac: Izvještaj o rashodima prema funkcijskoj klasifikaciji</w:t>
      </w:r>
    </w:p>
    <w:p w14:paraId="2515823B" w14:textId="7EF2AEA3" w:rsidR="00994DEB" w:rsidRPr="00C81E7A" w:rsidRDefault="003B04C0" w:rsidP="00202C81">
      <w:pPr>
        <w:spacing w:line="240" w:lineRule="auto"/>
        <w:jc w:val="both"/>
      </w:pPr>
      <w:r>
        <w:t>U obrazac RAS-funkcijski prema funkcijskoj se klasifikaciji razvrstavaju</w:t>
      </w:r>
      <w:r w:rsidR="00490FD9">
        <w:t xml:space="preserve"> ukupni </w:t>
      </w:r>
      <w:r>
        <w:t>rashodi</w:t>
      </w:r>
      <w:r w:rsidR="00490FD9">
        <w:t xml:space="preserve"> i izdaci </w:t>
      </w:r>
      <w:r>
        <w:t xml:space="preserve">u iznosu </w:t>
      </w:r>
      <w:r w:rsidR="008075BF">
        <w:t>6.935.893</w:t>
      </w:r>
      <w:r>
        <w:t xml:space="preserve"> kun</w:t>
      </w:r>
      <w:r w:rsidR="006B7F08">
        <w:t>e</w:t>
      </w:r>
      <w:r>
        <w:t xml:space="preserve"> i svrstani su u ekonomske poslove AOP 031, odnosno Ekonomske poslove koji nisu drugdje svrstani AOP 070.</w:t>
      </w:r>
    </w:p>
    <w:p w14:paraId="1F956B64" w14:textId="77777777" w:rsidR="00C81E7A" w:rsidRDefault="00C81E7A" w:rsidP="00202C81">
      <w:pPr>
        <w:spacing w:line="240" w:lineRule="auto"/>
        <w:jc w:val="both"/>
        <w:rPr>
          <w:rFonts w:ascii="Calibri" w:eastAsia="Calibri" w:hAnsi="Calibri" w:cs="Calibri"/>
          <w:b/>
          <w:u w:val="single"/>
        </w:rPr>
      </w:pPr>
    </w:p>
    <w:p w14:paraId="4531C5F5" w14:textId="132C2508"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Bilješke uz Obrazac: Izvještaj o promjenama u vrijednosti i obujmu imovine i obveza</w:t>
      </w:r>
    </w:p>
    <w:p w14:paraId="7A9BA33C" w14:textId="6275BC38" w:rsidR="006F27FB" w:rsidRDefault="006F27FB" w:rsidP="00202C81">
      <w:pPr>
        <w:spacing w:line="240" w:lineRule="auto"/>
        <w:jc w:val="both"/>
        <w:rPr>
          <w:rFonts w:ascii="Calibri" w:eastAsia="Calibri" w:hAnsi="Calibri" w:cs="Calibri"/>
          <w:b/>
          <w:bCs/>
        </w:rPr>
      </w:pPr>
      <w:r w:rsidRPr="006F27FB">
        <w:rPr>
          <w:rFonts w:ascii="Calibri" w:eastAsia="Calibri" w:hAnsi="Calibri" w:cs="Calibri"/>
          <w:b/>
          <w:bCs/>
        </w:rPr>
        <w:t>Bil</w:t>
      </w:r>
      <w:r>
        <w:rPr>
          <w:rFonts w:ascii="Calibri" w:eastAsia="Calibri" w:hAnsi="Calibri" w:cs="Calibri"/>
          <w:b/>
          <w:bCs/>
        </w:rPr>
        <w:t xml:space="preserve">ješka broj </w:t>
      </w:r>
      <w:r w:rsidR="00DC256D">
        <w:rPr>
          <w:rFonts w:ascii="Calibri" w:eastAsia="Calibri" w:hAnsi="Calibri" w:cs="Calibri"/>
          <w:b/>
          <w:bCs/>
        </w:rPr>
        <w:t>1</w:t>
      </w:r>
      <w:r>
        <w:rPr>
          <w:rFonts w:ascii="Calibri" w:eastAsia="Calibri" w:hAnsi="Calibri" w:cs="Calibri"/>
          <w:b/>
          <w:bCs/>
        </w:rPr>
        <w:t xml:space="preserve"> – vezana uz uz AOP</w:t>
      </w:r>
      <w:r w:rsidR="00453DA5">
        <w:rPr>
          <w:rFonts w:ascii="Calibri" w:eastAsia="Calibri" w:hAnsi="Calibri" w:cs="Calibri"/>
          <w:b/>
          <w:bCs/>
        </w:rPr>
        <w:t xml:space="preserve"> 018</w:t>
      </w:r>
    </w:p>
    <w:p w14:paraId="427C42B5" w14:textId="4B8EDA59" w:rsidR="00453DA5" w:rsidRDefault="00453DA5" w:rsidP="00202C81">
      <w:pPr>
        <w:spacing w:line="240" w:lineRule="auto"/>
        <w:jc w:val="both"/>
        <w:rPr>
          <w:rFonts w:ascii="Calibri" w:eastAsia="Calibri" w:hAnsi="Calibri" w:cs="Calibri"/>
        </w:rPr>
      </w:pPr>
      <w:r>
        <w:rPr>
          <w:rFonts w:ascii="Calibri" w:eastAsia="Calibri" w:hAnsi="Calibri" w:cs="Calibri"/>
        </w:rPr>
        <w:t xml:space="preserve">Promjene u obujmu imovine iznose </w:t>
      </w:r>
      <w:r w:rsidR="00DC256D">
        <w:rPr>
          <w:rFonts w:ascii="Calibri" w:eastAsia="Calibri" w:hAnsi="Calibri" w:cs="Calibri"/>
        </w:rPr>
        <w:t>198.811</w:t>
      </w:r>
      <w:r>
        <w:rPr>
          <w:rFonts w:ascii="Calibri" w:eastAsia="Calibri" w:hAnsi="Calibri" w:cs="Calibri"/>
        </w:rPr>
        <w:t xml:space="preserve"> kun</w:t>
      </w:r>
      <w:r w:rsidR="00DC256D">
        <w:rPr>
          <w:rFonts w:ascii="Calibri" w:eastAsia="Calibri" w:hAnsi="Calibri" w:cs="Calibri"/>
        </w:rPr>
        <w:t>a</w:t>
      </w:r>
      <w:r>
        <w:rPr>
          <w:rFonts w:ascii="Calibri" w:eastAsia="Calibri" w:hAnsi="Calibri" w:cs="Calibri"/>
        </w:rPr>
        <w:t xml:space="preserve"> i odnose se na smanjenje obujma</w:t>
      </w:r>
      <w:r w:rsidR="006625FD">
        <w:rPr>
          <w:rFonts w:ascii="Calibri" w:eastAsia="Calibri" w:hAnsi="Calibri" w:cs="Calibri"/>
        </w:rPr>
        <w:t xml:space="preserve"> neproizvedene dugotrajne</w:t>
      </w:r>
      <w:r>
        <w:rPr>
          <w:rFonts w:ascii="Calibri" w:eastAsia="Calibri" w:hAnsi="Calibri" w:cs="Calibri"/>
        </w:rPr>
        <w:t xml:space="preserve"> imovine </w:t>
      </w:r>
      <w:r w:rsidR="006625FD">
        <w:rPr>
          <w:rFonts w:ascii="Calibri" w:eastAsia="Calibri" w:hAnsi="Calibri" w:cs="Calibri"/>
        </w:rPr>
        <w:t xml:space="preserve">u iznosu 156.552 kune </w:t>
      </w:r>
      <w:r>
        <w:rPr>
          <w:rFonts w:ascii="Calibri" w:eastAsia="Calibri" w:hAnsi="Calibri" w:cs="Calibri"/>
        </w:rPr>
        <w:t>zbog darovanj</w:t>
      </w:r>
      <w:r w:rsidR="005664C0">
        <w:rPr>
          <w:rFonts w:ascii="Calibri" w:eastAsia="Calibri" w:hAnsi="Calibri" w:cs="Calibri"/>
        </w:rPr>
        <w:t>a</w:t>
      </w:r>
      <w:r>
        <w:rPr>
          <w:rFonts w:ascii="Calibri" w:eastAsia="Calibri" w:hAnsi="Calibri" w:cs="Calibri"/>
        </w:rPr>
        <w:t xml:space="preserve"> </w:t>
      </w:r>
      <w:r w:rsidR="005664C0">
        <w:rPr>
          <w:rFonts w:ascii="Calibri" w:eastAsia="Calibri" w:hAnsi="Calibri" w:cs="Calibri"/>
        </w:rPr>
        <w:t>temeljem</w:t>
      </w:r>
      <w:r>
        <w:rPr>
          <w:rFonts w:ascii="Calibri" w:eastAsia="Calibri" w:hAnsi="Calibri" w:cs="Calibri"/>
        </w:rPr>
        <w:t xml:space="preserve"> ugovor</w:t>
      </w:r>
      <w:r w:rsidR="005664C0">
        <w:rPr>
          <w:rFonts w:ascii="Calibri" w:eastAsia="Calibri" w:hAnsi="Calibri" w:cs="Calibri"/>
        </w:rPr>
        <w:t>a</w:t>
      </w:r>
      <w:r>
        <w:rPr>
          <w:rFonts w:ascii="Calibri" w:eastAsia="Calibri" w:hAnsi="Calibri" w:cs="Calibri"/>
        </w:rPr>
        <w:t xml:space="preserve"> o prijenosu </w:t>
      </w:r>
      <w:r w:rsidR="00DC256D">
        <w:rPr>
          <w:rFonts w:ascii="Calibri" w:eastAsia="Calibri" w:hAnsi="Calibri" w:cs="Calibri"/>
        </w:rPr>
        <w:t>osobnog automobila</w:t>
      </w:r>
      <w:r>
        <w:rPr>
          <w:rFonts w:ascii="Calibri" w:eastAsia="Calibri" w:hAnsi="Calibri" w:cs="Calibri"/>
        </w:rPr>
        <w:t xml:space="preserve"> Virovitičko-podravskoj županiji</w:t>
      </w:r>
      <w:r w:rsidR="006625FD">
        <w:rPr>
          <w:rFonts w:ascii="Calibri" w:eastAsia="Calibri" w:hAnsi="Calibri" w:cs="Calibri"/>
        </w:rPr>
        <w:t xml:space="preserve"> te otpisa zastarjelih i krivo knjiženih potraživanja u iznosu 42.259 kuna prema Odluci Upravnog vijeća.</w:t>
      </w:r>
    </w:p>
    <w:p w14:paraId="0CDC53DD" w14:textId="77777777" w:rsidR="006625FD" w:rsidRDefault="006625FD" w:rsidP="00202C81">
      <w:pPr>
        <w:spacing w:line="240" w:lineRule="auto"/>
        <w:jc w:val="both"/>
        <w:rPr>
          <w:rFonts w:ascii="Calibri" w:eastAsia="Calibri" w:hAnsi="Calibri" w:cs="Calibri"/>
          <w:b/>
          <w:bCs/>
        </w:rPr>
      </w:pPr>
    </w:p>
    <w:p w14:paraId="5B948E65" w14:textId="4FF53418" w:rsidR="0051267A" w:rsidRDefault="0051267A" w:rsidP="00202C81">
      <w:pPr>
        <w:spacing w:line="240" w:lineRule="auto"/>
        <w:jc w:val="both"/>
        <w:rPr>
          <w:rFonts w:ascii="Calibri" w:eastAsia="Calibri" w:hAnsi="Calibri" w:cs="Calibri"/>
          <w:b/>
          <w:bCs/>
        </w:rPr>
      </w:pPr>
      <w:r>
        <w:rPr>
          <w:rFonts w:ascii="Calibri" w:eastAsia="Calibri" w:hAnsi="Calibri" w:cs="Calibri"/>
          <w:b/>
          <w:bCs/>
        </w:rPr>
        <w:t>Bilješka broj 4 – vezana uz AOP 040</w:t>
      </w:r>
    </w:p>
    <w:p w14:paraId="00F128A9" w14:textId="116A5893" w:rsidR="0051267A" w:rsidRPr="0051267A" w:rsidRDefault="0051267A" w:rsidP="00202C81">
      <w:pPr>
        <w:spacing w:line="240" w:lineRule="auto"/>
        <w:jc w:val="both"/>
        <w:rPr>
          <w:rFonts w:ascii="Calibri" w:eastAsia="Calibri" w:hAnsi="Calibri" w:cs="Calibri"/>
        </w:rPr>
      </w:pPr>
      <w:r>
        <w:rPr>
          <w:rFonts w:ascii="Calibri" w:eastAsia="Calibri" w:hAnsi="Calibri" w:cs="Calibri"/>
        </w:rPr>
        <w:lastRenderedPageBreak/>
        <w:t xml:space="preserve">Promjene u obujmu obveza </w:t>
      </w:r>
      <w:r w:rsidR="009A2A90">
        <w:rPr>
          <w:rFonts w:ascii="Calibri" w:eastAsia="Calibri" w:hAnsi="Calibri" w:cs="Calibri"/>
        </w:rPr>
        <w:t>odnose se na povećanje obujma obaveza u iznosu 51.169 i smanjenje u obujmu u iznosu 54</w:t>
      </w:r>
      <w:r w:rsidR="00935CFD">
        <w:rPr>
          <w:rFonts w:ascii="Calibri" w:eastAsia="Calibri" w:hAnsi="Calibri" w:cs="Calibri"/>
        </w:rPr>
        <w:t xml:space="preserve"> kun</w:t>
      </w:r>
      <w:r w:rsidR="009A2A90">
        <w:rPr>
          <w:rFonts w:ascii="Calibri" w:eastAsia="Calibri" w:hAnsi="Calibri" w:cs="Calibri"/>
        </w:rPr>
        <w:t>e</w:t>
      </w:r>
      <w:r w:rsidR="00935CFD">
        <w:rPr>
          <w:rFonts w:ascii="Calibri" w:eastAsia="Calibri" w:hAnsi="Calibri" w:cs="Calibri"/>
        </w:rPr>
        <w:t xml:space="preserve">. </w:t>
      </w:r>
      <w:r w:rsidR="00182660">
        <w:rPr>
          <w:rFonts w:ascii="Calibri" w:eastAsia="Calibri" w:hAnsi="Calibri" w:cs="Calibri"/>
        </w:rPr>
        <w:t>Odnose se na otpis obveza koje su nastale kao krivo</w:t>
      </w:r>
      <w:r w:rsidR="009A2A90">
        <w:rPr>
          <w:rFonts w:ascii="Calibri" w:eastAsia="Calibri" w:hAnsi="Calibri" w:cs="Calibri"/>
        </w:rPr>
        <w:t xml:space="preserve"> knjižene i zastarjele obveze</w:t>
      </w:r>
      <w:r w:rsidR="00182660">
        <w:rPr>
          <w:rFonts w:ascii="Calibri" w:eastAsia="Calibri" w:hAnsi="Calibri" w:cs="Calibri"/>
        </w:rPr>
        <w:t xml:space="preserve">. </w:t>
      </w:r>
      <w:r w:rsidR="00935CFD">
        <w:rPr>
          <w:rFonts w:ascii="Calibri" w:eastAsia="Calibri" w:hAnsi="Calibri" w:cs="Calibri"/>
        </w:rPr>
        <w:t xml:space="preserve">Obveze su smanjenje temeljem </w:t>
      </w:r>
      <w:r w:rsidR="00182660">
        <w:rPr>
          <w:rFonts w:ascii="Calibri" w:eastAsia="Calibri" w:hAnsi="Calibri" w:cs="Calibri"/>
        </w:rPr>
        <w:t>Zahtjeva za otpis obveza koji je odobren na Upravnom vijeću.</w:t>
      </w:r>
    </w:p>
    <w:p w14:paraId="2E401045" w14:textId="5D50E4EB" w:rsidR="00453DA5" w:rsidRDefault="00453DA5" w:rsidP="00202C81">
      <w:pPr>
        <w:spacing w:line="240" w:lineRule="auto"/>
        <w:jc w:val="both"/>
        <w:rPr>
          <w:rFonts w:ascii="Calibri" w:eastAsia="Calibri" w:hAnsi="Calibri" w:cs="Calibri"/>
        </w:rPr>
      </w:pPr>
    </w:p>
    <w:p w14:paraId="036AED28" w14:textId="3818CC95" w:rsidR="008C697B" w:rsidRDefault="008C697B" w:rsidP="00202C81">
      <w:pPr>
        <w:spacing w:line="240" w:lineRule="auto"/>
        <w:jc w:val="both"/>
        <w:rPr>
          <w:rFonts w:ascii="Calibri" w:eastAsia="Calibri" w:hAnsi="Calibri" w:cs="Calibri"/>
        </w:rPr>
      </w:pPr>
    </w:p>
    <w:p w14:paraId="2A6D3AAF" w14:textId="3B711B26" w:rsidR="008C697B" w:rsidRDefault="008C697B" w:rsidP="00202C81">
      <w:pPr>
        <w:spacing w:line="240" w:lineRule="auto"/>
        <w:jc w:val="both"/>
        <w:rPr>
          <w:rFonts w:ascii="Calibri" w:eastAsia="Calibri" w:hAnsi="Calibri" w:cs="Calibri"/>
        </w:rPr>
      </w:pPr>
    </w:p>
    <w:p w14:paraId="7D2B56E5" w14:textId="77777777" w:rsidR="008C697B" w:rsidRPr="00453DA5" w:rsidRDefault="008C697B" w:rsidP="00202C81">
      <w:pPr>
        <w:spacing w:line="240" w:lineRule="auto"/>
        <w:jc w:val="both"/>
        <w:rPr>
          <w:rFonts w:ascii="Calibri" w:eastAsia="Calibri" w:hAnsi="Calibri" w:cs="Calibri"/>
        </w:rPr>
      </w:pPr>
    </w:p>
    <w:p w14:paraId="78337EFD" w14:textId="2EBA26A7"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Bilješke uz Obrazac: Bilanca</w:t>
      </w:r>
    </w:p>
    <w:p w14:paraId="6A9B9716" w14:textId="77777777"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1 – vezana uz AOP 001 i 162</w:t>
      </w:r>
    </w:p>
    <w:p w14:paraId="6E000579" w14:textId="570EC367" w:rsidR="00C167A9" w:rsidRDefault="00C167A9" w:rsidP="00202C81">
      <w:pPr>
        <w:spacing w:line="240" w:lineRule="auto"/>
        <w:jc w:val="both"/>
        <w:rPr>
          <w:rFonts w:ascii="Calibri" w:eastAsia="Calibri" w:hAnsi="Calibri" w:cs="Calibri"/>
        </w:rPr>
      </w:pPr>
      <w:r>
        <w:rPr>
          <w:rFonts w:ascii="Calibri" w:eastAsia="Calibri" w:hAnsi="Calibri" w:cs="Calibri"/>
        </w:rPr>
        <w:t>Vrijednost imovine na dan 31.12.20</w:t>
      </w:r>
      <w:r w:rsidR="000751D9">
        <w:rPr>
          <w:rFonts w:ascii="Calibri" w:eastAsia="Calibri" w:hAnsi="Calibri" w:cs="Calibri"/>
        </w:rPr>
        <w:t>2</w:t>
      </w:r>
      <w:r w:rsidR="00ED15E7">
        <w:rPr>
          <w:rFonts w:ascii="Calibri" w:eastAsia="Calibri" w:hAnsi="Calibri" w:cs="Calibri"/>
        </w:rPr>
        <w:t>1</w:t>
      </w:r>
      <w:r>
        <w:rPr>
          <w:rFonts w:ascii="Calibri" w:eastAsia="Calibri" w:hAnsi="Calibri" w:cs="Calibri"/>
        </w:rPr>
        <w:t>.  godine (AOP 001) i obveza i vlastitih izvora (AOP 16</w:t>
      </w:r>
      <w:r w:rsidR="000751D9">
        <w:rPr>
          <w:rFonts w:ascii="Calibri" w:eastAsia="Calibri" w:hAnsi="Calibri" w:cs="Calibri"/>
        </w:rPr>
        <w:t>8</w:t>
      </w:r>
      <w:r>
        <w:rPr>
          <w:rFonts w:ascii="Calibri" w:eastAsia="Calibri" w:hAnsi="Calibri" w:cs="Calibri"/>
        </w:rPr>
        <w:t xml:space="preserve">) iznosi </w:t>
      </w:r>
      <w:r w:rsidR="00ED15E7">
        <w:rPr>
          <w:rFonts w:ascii="Calibri" w:eastAsia="Calibri" w:hAnsi="Calibri" w:cs="Calibri"/>
        </w:rPr>
        <w:t>3.114.545</w:t>
      </w:r>
      <w:r>
        <w:rPr>
          <w:rFonts w:ascii="Calibri" w:eastAsia="Calibri" w:hAnsi="Calibri" w:cs="Calibri"/>
        </w:rPr>
        <w:t xml:space="preserve"> kuna </w:t>
      </w:r>
      <w:r w:rsidR="000751D9">
        <w:rPr>
          <w:rFonts w:ascii="Calibri" w:eastAsia="Calibri" w:hAnsi="Calibri" w:cs="Calibri"/>
        </w:rPr>
        <w:t xml:space="preserve">što je </w:t>
      </w:r>
      <w:r w:rsidR="00ED15E7">
        <w:rPr>
          <w:rFonts w:ascii="Calibri" w:eastAsia="Calibri" w:hAnsi="Calibri" w:cs="Calibri"/>
        </w:rPr>
        <w:t>28,8</w:t>
      </w:r>
      <w:r w:rsidR="000751D9">
        <w:rPr>
          <w:rFonts w:ascii="Calibri" w:eastAsia="Calibri" w:hAnsi="Calibri" w:cs="Calibri"/>
        </w:rPr>
        <w:t xml:space="preserve">% </w:t>
      </w:r>
      <w:r w:rsidR="00ED15E7">
        <w:rPr>
          <w:rFonts w:ascii="Calibri" w:eastAsia="Calibri" w:hAnsi="Calibri" w:cs="Calibri"/>
        </w:rPr>
        <w:t xml:space="preserve"> više </w:t>
      </w:r>
      <w:r w:rsidR="000751D9">
        <w:rPr>
          <w:rFonts w:ascii="Calibri" w:eastAsia="Calibri" w:hAnsi="Calibri" w:cs="Calibri"/>
        </w:rPr>
        <w:t>u odnosu na prethodnu godinu.</w:t>
      </w:r>
    </w:p>
    <w:p w14:paraId="11DEF509" w14:textId="2E40F2BB"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2 – vezana uz AOP 002</w:t>
      </w:r>
      <w:r w:rsidR="000751D9">
        <w:rPr>
          <w:rFonts w:ascii="Calibri" w:eastAsia="Calibri" w:hAnsi="Calibri" w:cs="Calibri"/>
          <w:b/>
        </w:rPr>
        <w:t xml:space="preserve"> </w:t>
      </w:r>
    </w:p>
    <w:p w14:paraId="44A543F0" w14:textId="2E48DB6C" w:rsidR="00C81E7A" w:rsidRPr="00A16991" w:rsidRDefault="00C167A9" w:rsidP="00202C81">
      <w:pPr>
        <w:spacing w:line="240" w:lineRule="auto"/>
        <w:jc w:val="both"/>
        <w:rPr>
          <w:rFonts w:ascii="Calibri" w:eastAsia="Calibri" w:hAnsi="Calibri" w:cs="Calibri"/>
        </w:rPr>
      </w:pPr>
      <w:r>
        <w:rPr>
          <w:rFonts w:ascii="Calibri" w:eastAsia="Calibri" w:hAnsi="Calibri" w:cs="Calibri"/>
        </w:rPr>
        <w:t xml:space="preserve">Vrijednost nefinancijske imovine iznosi </w:t>
      </w:r>
      <w:r w:rsidR="00ED15E7">
        <w:rPr>
          <w:rFonts w:ascii="Calibri" w:eastAsia="Calibri" w:hAnsi="Calibri" w:cs="Calibri"/>
        </w:rPr>
        <w:t>2.045.638</w:t>
      </w:r>
      <w:r>
        <w:rPr>
          <w:rFonts w:ascii="Calibri" w:eastAsia="Calibri" w:hAnsi="Calibri" w:cs="Calibri"/>
        </w:rPr>
        <w:t xml:space="preserve"> kuna </w:t>
      </w:r>
      <w:r w:rsidR="000751D9">
        <w:rPr>
          <w:rFonts w:ascii="Calibri" w:eastAsia="Calibri" w:hAnsi="Calibri" w:cs="Calibri"/>
        </w:rPr>
        <w:t xml:space="preserve">što je </w:t>
      </w:r>
      <w:r w:rsidR="00ED15E7">
        <w:rPr>
          <w:rFonts w:ascii="Calibri" w:eastAsia="Calibri" w:hAnsi="Calibri" w:cs="Calibri"/>
        </w:rPr>
        <w:t>158,7</w:t>
      </w:r>
      <w:r w:rsidR="000751D9">
        <w:rPr>
          <w:rFonts w:ascii="Calibri" w:eastAsia="Calibri" w:hAnsi="Calibri" w:cs="Calibri"/>
        </w:rPr>
        <w:t>%</w:t>
      </w:r>
      <w:r w:rsidR="00ED15E7">
        <w:rPr>
          <w:rFonts w:ascii="Calibri" w:eastAsia="Calibri" w:hAnsi="Calibri" w:cs="Calibri"/>
        </w:rPr>
        <w:t xml:space="preserve"> više od</w:t>
      </w:r>
      <w:r w:rsidR="000751D9">
        <w:rPr>
          <w:rFonts w:ascii="Calibri" w:eastAsia="Calibri" w:hAnsi="Calibri" w:cs="Calibri"/>
        </w:rPr>
        <w:t xml:space="preserve"> imovine od prethodne godine. </w:t>
      </w:r>
      <w:r w:rsidR="00ED15E7">
        <w:rPr>
          <w:rFonts w:ascii="Calibri" w:eastAsia="Calibri" w:hAnsi="Calibri" w:cs="Calibri"/>
        </w:rPr>
        <w:t>Povećanje</w:t>
      </w:r>
      <w:r w:rsidR="000751D9">
        <w:rPr>
          <w:rFonts w:ascii="Calibri" w:eastAsia="Calibri" w:hAnsi="Calibri" w:cs="Calibri"/>
        </w:rPr>
        <w:t xml:space="preserve"> nefinancijske imovine </w:t>
      </w:r>
      <w:r w:rsidR="00ED15E7">
        <w:rPr>
          <w:rFonts w:ascii="Calibri" w:eastAsia="Calibri" w:hAnsi="Calibri" w:cs="Calibri"/>
        </w:rPr>
        <w:t xml:space="preserve">je najvećim dijelom vezano uz </w:t>
      </w:r>
      <w:r w:rsidR="00A16991">
        <w:rPr>
          <w:rFonts w:ascii="Calibri" w:eastAsia="Calibri" w:hAnsi="Calibri" w:cs="Calibri"/>
        </w:rPr>
        <w:t>ulaganje na tuđoj imovini radi prava korištenja, odnosno sanaciju podruma u iznosu od 1.640.120 kuna.</w:t>
      </w:r>
    </w:p>
    <w:p w14:paraId="74DE1454" w14:textId="37BC0F57" w:rsidR="00C167A9" w:rsidRDefault="00C167A9" w:rsidP="00202C81">
      <w:pPr>
        <w:spacing w:line="240" w:lineRule="auto"/>
        <w:jc w:val="both"/>
        <w:rPr>
          <w:rFonts w:ascii="Calibri" w:eastAsia="Calibri" w:hAnsi="Calibri" w:cs="Calibri"/>
          <w:b/>
        </w:rPr>
      </w:pPr>
      <w:r>
        <w:rPr>
          <w:rFonts w:ascii="Calibri" w:eastAsia="Calibri" w:hAnsi="Calibri" w:cs="Calibri"/>
          <w:b/>
        </w:rPr>
        <w:t>Bilješka broj 3 – vezana uz AOP 0</w:t>
      </w:r>
      <w:r w:rsidR="000751D9">
        <w:rPr>
          <w:rFonts w:ascii="Calibri" w:eastAsia="Calibri" w:hAnsi="Calibri" w:cs="Calibri"/>
          <w:b/>
        </w:rPr>
        <w:t>63</w:t>
      </w:r>
    </w:p>
    <w:p w14:paraId="206AE815" w14:textId="07D12F1A" w:rsidR="000751D9" w:rsidRPr="000751D9" w:rsidRDefault="000751D9" w:rsidP="00202C81">
      <w:pPr>
        <w:spacing w:line="240" w:lineRule="auto"/>
        <w:jc w:val="both"/>
        <w:rPr>
          <w:rFonts w:ascii="Calibri" w:eastAsia="Calibri" w:hAnsi="Calibri" w:cs="Calibri"/>
          <w:bCs/>
        </w:rPr>
      </w:pPr>
      <w:r>
        <w:rPr>
          <w:rFonts w:ascii="Calibri" w:eastAsia="Calibri" w:hAnsi="Calibri" w:cs="Calibri"/>
          <w:bCs/>
        </w:rPr>
        <w:t>Vrijednost financijske imovine iznosi 1.</w:t>
      </w:r>
      <w:r w:rsidR="00A16991">
        <w:rPr>
          <w:rFonts w:ascii="Calibri" w:eastAsia="Calibri" w:hAnsi="Calibri" w:cs="Calibri"/>
          <w:bCs/>
        </w:rPr>
        <w:t>068.907</w:t>
      </w:r>
      <w:r>
        <w:rPr>
          <w:rFonts w:ascii="Calibri" w:eastAsia="Calibri" w:hAnsi="Calibri" w:cs="Calibri"/>
          <w:bCs/>
        </w:rPr>
        <w:t xml:space="preserve"> kuna što je </w:t>
      </w:r>
      <w:r w:rsidR="00A16991">
        <w:rPr>
          <w:rFonts w:ascii="Calibri" w:eastAsia="Calibri" w:hAnsi="Calibri" w:cs="Calibri"/>
          <w:bCs/>
        </w:rPr>
        <w:t>65,7</w:t>
      </w:r>
      <w:r>
        <w:rPr>
          <w:rFonts w:ascii="Calibri" w:eastAsia="Calibri" w:hAnsi="Calibri" w:cs="Calibri"/>
          <w:bCs/>
        </w:rPr>
        <w:t>% financijske imovine prethodne godine. Smanjenje financijske imovine najvećim se dijelom odnosi na smanjenje novca u banci koje na dan 31.12.2020. iznosi 1.542.730 kuna, dok je 31.12.20</w:t>
      </w:r>
      <w:r w:rsidR="00A16991">
        <w:rPr>
          <w:rFonts w:ascii="Calibri" w:eastAsia="Calibri" w:hAnsi="Calibri" w:cs="Calibri"/>
          <w:bCs/>
        </w:rPr>
        <w:t>21</w:t>
      </w:r>
      <w:r>
        <w:rPr>
          <w:rFonts w:ascii="Calibri" w:eastAsia="Calibri" w:hAnsi="Calibri" w:cs="Calibri"/>
          <w:bCs/>
        </w:rPr>
        <w:t xml:space="preserve">. iznosilo </w:t>
      </w:r>
      <w:r w:rsidR="00A16991">
        <w:rPr>
          <w:rFonts w:ascii="Calibri" w:eastAsia="Calibri" w:hAnsi="Calibri" w:cs="Calibri"/>
          <w:bCs/>
        </w:rPr>
        <w:t>1.050.228</w:t>
      </w:r>
      <w:r>
        <w:rPr>
          <w:rFonts w:ascii="Calibri" w:eastAsia="Calibri" w:hAnsi="Calibri" w:cs="Calibri"/>
          <w:bCs/>
        </w:rPr>
        <w:t xml:space="preserve"> kuna.</w:t>
      </w:r>
    </w:p>
    <w:p w14:paraId="62835A78" w14:textId="763FFFCD" w:rsidR="003D7E5A" w:rsidRDefault="003D7E5A" w:rsidP="00202C81">
      <w:pPr>
        <w:spacing w:line="240" w:lineRule="auto"/>
        <w:jc w:val="both"/>
        <w:rPr>
          <w:rFonts w:ascii="Calibri" w:eastAsia="Calibri" w:hAnsi="Calibri" w:cs="Calibri"/>
          <w:b/>
        </w:rPr>
      </w:pPr>
      <w:r>
        <w:rPr>
          <w:rFonts w:ascii="Calibri" w:eastAsia="Calibri" w:hAnsi="Calibri" w:cs="Calibri"/>
          <w:b/>
        </w:rPr>
        <w:t>Bilješka broj 4 – vezana uz AOP 0</w:t>
      </w:r>
      <w:r w:rsidR="000751D9">
        <w:rPr>
          <w:rFonts w:ascii="Calibri" w:eastAsia="Calibri" w:hAnsi="Calibri" w:cs="Calibri"/>
          <w:b/>
        </w:rPr>
        <w:t>79</w:t>
      </w:r>
    </w:p>
    <w:p w14:paraId="6432967E" w14:textId="271BB6BF" w:rsidR="00EA5EB6" w:rsidRDefault="000751D9" w:rsidP="00202C81">
      <w:pPr>
        <w:spacing w:line="240" w:lineRule="auto"/>
        <w:jc w:val="both"/>
        <w:rPr>
          <w:rFonts w:ascii="Calibri" w:eastAsia="Calibri" w:hAnsi="Calibri" w:cs="Calibri"/>
        </w:rPr>
      </w:pPr>
      <w:r>
        <w:rPr>
          <w:rFonts w:ascii="Calibri" w:eastAsia="Calibri" w:hAnsi="Calibri" w:cs="Calibri"/>
        </w:rPr>
        <w:t xml:space="preserve">Potraživanja za više plaćene poreze i doprinose iznose </w:t>
      </w:r>
      <w:r w:rsidR="00A16991">
        <w:rPr>
          <w:rFonts w:ascii="Calibri" w:eastAsia="Calibri" w:hAnsi="Calibri" w:cs="Calibri"/>
        </w:rPr>
        <w:t>2.201</w:t>
      </w:r>
      <w:r>
        <w:rPr>
          <w:rFonts w:ascii="Calibri" w:eastAsia="Calibri" w:hAnsi="Calibri" w:cs="Calibri"/>
        </w:rPr>
        <w:t xml:space="preserve"> kun</w:t>
      </w:r>
      <w:r w:rsidR="00A16991">
        <w:rPr>
          <w:rFonts w:ascii="Calibri" w:eastAsia="Calibri" w:hAnsi="Calibri" w:cs="Calibri"/>
        </w:rPr>
        <w:t>u</w:t>
      </w:r>
      <w:r>
        <w:rPr>
          <w:rFonts w:ascii="Calibri" w:eastAsia="Calibri" w:hAnsi="Calibri" w:cs="Calibri"/>
        </w:rPr>
        <w:t xml:space="preserve"> što je 2</w:t>
      </w:r>
      <w:r w:rsidR="00A16991">
        <w:rPr>
          <w:rFonts w:ascii="Calibri" w:eastAsia="Calibri" w:hAnsi="Calibri" w:cs="Calibri"/>
        </w:rPr>
        <w:t>4,8</w:t>
      </w:r>
      <w:r>
        <w:rPr>
          <w:rFonts w:ascii="Calibri" w:eastAsia="Calibri" w:hAnsi="Calibri" w:cs="Calibri"/>
        </w:rPr>
        <w:t>% potraživanja u odnosu na prethodnu godinu. Ova su potraživanja smanjena temeljem otpisa</w:t>
      </w:r>
      <w:r w:rsidR="00A16991">
        <w:rPr>
          <w:rFonts w:ascii="Calibri" w:eastAsia="Calibri" w:hAnsi="Calibri" w:cs="Calibri"/>
        </w:rPr>
        <w:t xml:space="preserve"> i</w:t>
      </w:r>
      <w:r w:rsidR="00AC309E">
        <w:rPr>
          <w:rFonts w:ascii="Calibri" w:eastAsia="Calibri" w:hAnsi="Calibri" w:cs="Calibri"/>
        </w:rPr>
        <w:t xml:space="preserve"> temeljem predaje i odobrenja obrazaca Specifikacija nepovezanih uplata uplaćena su sredstva iz državnog proračuna kao povrat više plaćenog poreza na dohodak po konačnom obračunu.</w:t>
      </w:r>
    </w:p>
    <w:p w14:paraId="30609187" w14:textId="7633E0E8" w:rsidR="00EA5EB6" w:rsidRDefault="00EA5EB6" w:rsidP="00202C81">
      <w:pPr>
        <w:spacing w:line="240" w:lineRule="auto"/>
        <w:jc w:val="both"/>
        <w:rPr>
          <w:rFonts w:ascii="Calibri" w:eastAsia="Calibri" w:hAnsi="Calibri" w:cs="Calibri"/>
          <w:b/>
        </w:rPr>
      </w:pPr>
      <w:r>
        <w:rPr>
          <w:rFonts w:ascii="Calibri" w:eastAsia="Calibri" w:hAnsi="Calibri" w:cs="Calibri"/>
          <w:b/>
        </w:rPr>
        <w:t xml:space="preserve">Bilješka broj </w:t>
      </w:r>
      <w:r w:rsidR="00D772C9">
        <w:rPr>
          <w:rFonts w:ascii="Calibri" w:eastAsia="Calibri" w:hAnsi="Calibri" w:cs="Calibri"/>
          <w:b/>
        </w:rPr>
        <w:t>5</w:t>
      </w:r>
      <w:r>
        <w:rPr>
          <w:rFonts w:ascii="Calibri" w:eastAsia="Calibri" w:hAnsi="Calibri" w:cs="Calibri"/>
          <w:b/>
        </w:rPr>
        <w:t xml:space="preserve"> – vezana uz AOP 1</w:t>
      </w:r>
      <w:r w:rsidR="00D772C9">
        <w:rPr>
          <w:rFonts w:ascii="Calibri" w:eastAsia="Calibri" w:hAnsi="Calibri" w:cs="Calibri"/>
          <w:b/>
        </w:rPr>
        <w:t>70</w:t>
      </w:r>
    </w:p>
    <w:p w14:paraId="03BBA27E" w14:textId="009015D6" w:rsidR="00EA5EB6" w:rsidRDefault="00EA5EB6" w:rsidP="00202C81">
      <w:pPr>
        <w:spacing w:line="240" w:lineRule="auto"/>
        <w:jc w:val="both"/>
        <w:rPr>
          <w:rFonts w:ascii="Calibri" w:eastAsia="Calibri" w:hAnsi="Calibri" w:cs="Calibri"/>
        </w:rPr>
      </w:pPr>
      <w:r>
        <w:rPr>
          <w:rFonts w:ascii="Calibri" w:eastAsia="Calibri" w:hAnsi="Calibri" w:cs="Calibri"/>
        </w:rPr>
        <w:t>Obveze na dan 31.12.20</w:t>
      </w:r>
      <w:r w:rsidR="004D1D19">
        <w:rPr>
          <w:rFonts w:ascii="Calibri" w:eastAsia="Calibri" w:hAnsi="Calibri" w:cs="Calibri"/>
        </w:rPr>
        <w:t>2</w:t>
      </w:r>
      <w:r w:rsidR="00D772C9">
        <w:rPr>
          <w:rFonts w:ascii="Calibri" w:eastAsia="Calibri" w:hAnsi="Calibri" w:cs="Calibri"/>
        </w:rPr>
        <w:t>1</w:t>
      </w:r>
      <w:r>
        <w:rPr>
          <w:rFonts w:ascii="Calibri" w:eastAsia="Calibri" w:hAnsi="Calibri" w:cs="Calibri"/>
        </w:rPr>
        <w:t xml:space="preserve">. iznose </w:t>
      </w:r>
      <w:r w:rsidR="00D772C9">
        <w:rPr>
          <w:rFonts w:ascii="Calibri" w:eastAsia="Calibri" w:hAnsi="Calibri" w:cs="Calibri"/>
        </w:rPr>
        <w:t>697.894</w:t>
      </w:r>
      <w:r>
        <w:rPr>
          <w:rFonts w:ascii="Calibri" w:eastAsia="Calibri" w:hAnsi="Calibri" w:cs="Calibri"/>
        </w:rPr>
        <w:t xml:space="preserve"> kune što je </w:t>
      </w:r>
      <w:r w:rsidR="00D772C9">
        <w:rPr>
          <w:rFonts w:ascii="Calibri" w:eastAsia="Calibri" w:hAnsi="Calibri" w:cs="Calibri"/>
        </w:rPr>
        <w:t>za 58,0</w:t>
      </w:r>
      <w:r w:rsidR="004D1D19">
        <w:rPr>
          <w:rFonts w:ascii="Calibri" w:eastAsia="Calibri" w:hAnsi="Calibri" w:cs="Calibri"/>
        </w:rPr>
        <w:t xml:space="preserve">% </w:t>
      </w:r>
      <w:r w:rsidR="00D772C9">
        <w:rPr>
          <w:rFonts w:ascii="Calibri" w:eastAsia="Calibri" w:hAnsi="Calibri" w:cs="Calibri"/>
        </w:rPr>
        <w:t xml:space="preserve"> više od </w:t>
      </w:r>
      <w:r w:rsidR="004D1D19">
        <w:rPr>
          <w:rFonts w:ascii="Calibri" w:eastAsia="Calibri" w:hAnsi="Calibri" w:cs="Calibri"/>
        </w:rPr>
        <w:t>obveza u odnosu na prethodnu godinu</w:t>
      </w:r>
      <w:r>
        <w:rPr>
          <w:rFonts w:ascii="Calibri" w:eastAsia="Calibri" w:hAnsi="Calibri" w:cs="Calibri"/>
        </w:rPr>
        <w:t xml:space="preserve">. </w:t>
      </w:r>
    </w:p>
    <w:p w14:paraId="505562F6" w14:textId="28582058" w:rsidR="008B3361" w:rsidRDefault="008B3361" w:rsidP="00202C81">
      <w:pPr>
        <w:spacing w:line="240" w:lineRule="auto"/>
        <w:jc w:val="both"/>
        <w:rPr>
          <w:rFonts w:ascii="Calibri" w:eastAsia="Calibri" w:hAnsi="Calibri" w:cs="Calibri"/>
        </w:rPr>
      </w:pPr>
      <w:r>
        <w:rPr>
          <w:rFonts w:ascii="Calibri" w:eastAsia="Calibri" w:hAnsi="Calibri" w:cs="Calibri"/>
        </w:rPr>
        <w:t>Obveze su detaljno razrađene kroz Obrazac: Obveze.</w:t>
      </w:r>
    </w:p>
    <w:p w14:paraId="57DDA8E8" w14:textId="04757E1A" w:rsidR="00EE522C" w:rsidRDefault="00EE522C" w:rsidP="00202C81">
      <w:pPr>
        <w:spacing w:line="240" w:lineRule="auto"/>
        <w:jc w:val="both"/>
        <w:rPr>
          <w:rFonts w:ascii="Calibri" w:eastAsia="Calibri" w:hAnsi="Calibri" w:cs="Calibri"/>
          <w:b/>
          <w:bCs/>
        </w:rPr>
      </w:pPr>
      <w:r>
        <w:rPr>
          <w:rFonts w:ascii="Calibri" w:eastAsia="Calibri" w:hAnsi="Calibri" w:cs="Calibri"/>
          <w:b/>
          <w:bCs/>
        </w:rPr>
        <w:t xml:space="preserve">Bilješka broj </w:t>
      </w:r>
      <w:r w:rsidR="00C54BE5">
        <w:rPr>
          <w:rFonts w:ascii="Calibri" w:eastAsia="Calibri" w:hAnsi="Calibri" w:cs="Calibri"/>
          <w:b/>
          <w:bCs/>
        </w:rPr>
        <w:t>6</w:t>
      </w:r>
      <w:r>
        <w:rPr>
          <w:rFonts w:ascii="Calibri" w:eastAsia="Calibri" w:hAnsi="Calibri" w:cs="Calibri"/>
          <w:b/>
          <w:bCs/>
        </w:rPr>
        <w:t xml:space="preserve"> – vezana uz AOP 239</w:t>
      </w:r>
    </w:p>
    <w:p w14:paraId="069EBFCA" w14:textId="73BF0A2C" w:rsidR="00EE522C" w:rsidRPr="00EE522C" w:rsidRDefault="00EE522C" w:rsidP="00202C81">
      <w:pPr>
        <w:spacing w:line="240" w:lineRule="auto"/>
        <w:jc w:val="both"/>
        <w:rPr>
          <w:rFonts w:ascii="Calibri" w:eastAsia="Calibri" w:hAnsi="Calibri" w:cs="Calibri"/>
          <w:bCs/>
          <w:sz w:val="20"/>
          <w:szCs w:val="20"/>
        </w:rPr>
      </w:pPr>
      <w:r>
        <w:rPr>
          <w:rFonts w:ascii="Calibri" w:eastAsia="Calibri" w:hAnsi="Calibri" w:cs="Calibri"/>
        </w:rPr>
        <w:t xml:space="preserve">Višak prihoda poslovanja iznosi </w:t>
      </w:r>
      <w:r w:rsidR="00C54BE5">
        <w:rPr>
          <w:rFonts w:ascii="Calibri" w:eastAsia="Calibri" w:hAnsi="Calibri" w:cs="Calibri"/>
        </w:rPr>
        <w:t>326.702</w:t>
      </w:r>
      <w:r>
        <w:rPr>
          <w:rFonts w:ascii="Calibri" w:eastAsia="Calibri" w:hAnsi="Calibri" w:cs="Calibri"/>
        </w:rPr>
        <w:t xml:space="preserve"> kun</w:t>
      </w:r>
      <w:r w:rsidR="00C54BE5">
        <w:rPr>
          <w:rFonts w:ascii="Calibri" w:eastAsia="Calibri" w:hAnsi="Calibri" w:cs="Calibri"/>
        </w:rPr>
        <w:t>e</w:t>
      </w:r>
      <w:r>
        <w:rPr>
          <w:rFonts w:ascii="Calibri" w:eastAsia="Calibri" w:hAnsi="Calibri" w:cs="Calibri"/>
        </w:rPr>
        <w:t xml:space="preserve"> što je </w:t>
      </w:r>
      <w:r w:rsidR="00C54BE5">
        <w:rPr>
          <w:rFonts w:ascii="Calibri" w:eastAsia="Calibri" w:hAnsi="Calibri" w:cs="Calibri"/>
        </w:rPr>
        <w:t>28,9</w:t>
      </w:r>
      <w:r>
        <w:rPr>
          <w:rFonts w:ascii="Calibri" w:eastAsia="Calibri" w:hAnsi="Calibri" w:cs="Calibri"/>
        </w:rPr>
        <w:t>% v</w:t>
      </w:r>
      <w:r w:rsidR="00C54BE5">
        <w:rPr>
          <w:rFonts w:ascii="Calibri" w:eastAsia="Calibri" w:hAnsi="Calibri" w:cs="Calibri"/>
        </w:rPr>
        <w:t xml:space="preserve">iška prihoda </w:t>
      </w:r>
      <w:r>
        <w:rPr>
          <w:rFonts w:ascii="Calibri" w:eastAsia="Calibri" w:hAnsi="Calibri" w:cs="Calibri"/>
        </w:rPr>
        <w:t>prethodne godine. Višak prihoda poslovanja detaljnije je opisan u Bilješci broj 2</w:t>
      </w:r>
      <w:r w:rsidR="00C54BE5">
        <w:rPr>
          <w:rFonts w:ascii="Calibri" w:eastAsia="Calibri" w:hAnsi="Calibri" w:cs="Calibri"/>
        </w:rPr>
        <w:t>0</w:t>
      </w:r>
      <w:r>
        <w:rPr>
          <w:rFonts w:ascii="Calibri" w:eastAsia="Calibri" w:hAnsi="Calibri" w:cs="Calibri"/>
        </w:rPr>
        <w:t xml:space="preserve"> uz </w:t>
      </w:r>
      <w:r w:rsidRPr="00EE522C">
        <w:rPr>
          <w:rFonts w:cs="Arial"/>
          <w:bCs/>
          <w:szCs w:val="20"/>
        </w:rPr>
        <w:t>Izvještaj o prihodima i rashodima, primicima i izdacima</w:t>
      </w:r>
      <w:r w:rsidR="0027576E">
        <w:rPr>
          <w:rFonts w:cs="Arial"/>
          <w:bCs/>
          <w:szCs w:val="20"/>
        </w:rPr>
        <w:t>.</w:t>
      </w:r>
    </w:p>
    <w:p w14:paraId="76C25121" w14:textId="37E45AA3" w:rsidR="008B3361" w:rsidRDefault="008B3361" w:rsidP="00202C81">
      <w:pPr>
        <w:spacing w:line="240" w:lineRule="auto"/>
        <w:jc w:val="both"/>
        <w:rPr>
          <w:rFonts w:ascii="Calibri" w:eastAsia="Calibri" w:hAnsi="Calibri" w:cs="Calibri"/>
          <w:b/>
        </w:rPr>
      </w:pPr>
      <w:r w:rsidRPr="00FD770B">
        <w:rPr>
          <w:rFonts w:ascii="Calibri" w:eastAsia="Calibri" w:hAnsi="Calibri" w:cs="Calibri"/>
          <w:b/>
        </w:rPr>
        <w:lastRenderedPageBreak/>
        <w:t xml:space="preserve">Bilješka broj </w:t>
      </w:r>
      <w:r w:rsidR="00C54BE5">
        <w:rPr>
          <w:rFonts w:ascii="Calibri" w:eastAsia="Calibri" w:hAnsi="Calibri" w:cs="Calibri"/>
          <w:b/>
        </w:rPr>
        <w:t>7</w:t>
      </w:r>
      <w:r w:rsidRPr="00FD770B">
        <w:rPr>
          <w:rFonts w:ascii="Calibri" w:eastAsia="Calibri" w:hAnsi="Calibri" w:cs="Calibri"/>
          <w:b/>
        </w:rPr>
        <w:t xml:space="preserve"> – vezana uz AOP</w:t>
      </w:r>
      <w:r w:rsidR="00CC13D8" w:rsidRPr="00FD770B">
        <w:rPr>
          <w:rFonts w:ascii="Calibri" w:eastAsia="Calibri" w:hAnsi="Calibri" w:cs="Calibri"/>
          <w:b/>
        </w:rPr>
        <w:t xml:space="preserve"> 2</w:t>
      </w:r>
      <w:r w:rsidR="0027576E" w:rsidRPr="00FD770B">
        <w:rPr>
          <w:rFonts w:ascii="Calibri" w:eastAsia="Calibri" w:hAnsi="Calibri" w:cs="Calibri"/>
          <w:b/>
        </w:rPr>
        <w:t>50</w:t>
      </w:r>
      <w:r w:rsidR="00CC13D8" w:rsidRPr="00FD770B">
        <w:rPr>
          <w:rFonts w:ascii="Calibri" w:eastAsia="Calibri" w:hAnsi="Calibri" w:cs="Calibri"/>
          <w:b/>
        </w:rPr>
        <w:t xml:space="preserve"> i 2</w:t>
      </w:r>
      <w:r w:rsidR="0027576E" w:rsidRPr="00FD770B">
        <w:rPr>
          <w:rFonts w:ascii="Calibri" w:eastAsia="Calibri" w:hAnsi="Calibri" w:cs="Calibri"/>
          <w:b/>
        </w:rPr>
        <w:t>51</w:t>
      </w:r>
    </w:p>
    <w:p w14:paraId="17AF500F" w14:textId="46D4A3BB" w:rsidR="00CC13D8" w:rsidRDefault="00CC13D8" w:rsidP="00202C81">
      <w:pPr>
        <w:spacing w:line="240" w:lineRule="auto"/>
        <w:jc w:val="both"/>
        <w:rPr>
          <w:rFonts w:ascii="Calibri" w:eastAsia="Calibri" w:hAnsi="Calibri" w:cs="Calibri"/>
        </w:rPr>
      </w:pPr>
      <w:r>
        <w:rPr>
          <w:rFonts w:ascii="Calibri" w:eastAsia="Calibri" w:hAnsi="Calibri" w:cs="Calibri"/>
        </w:rPr>
        <w:t xml:space="preserve">U izvanbilančnim zapisima evidentirano je </w:t>
      </w:r>
      <w:r w:rsidR="00C54BE5">
        <w:rPr>
          <w:rFonts w:ascii="Calibri" w:eastAsia="Calibri" w:hAnsi="Calibri" w:cs="Calibri"/>
        </w:rPr>
        <w:t>3.976.774</w:t>
      </w:r>
      <w:r>
        <w:rPr>
          <w:rFonts w:ascii="Calibri" w:eastAsia="Calibri" w:hAnsi="Calibri" w:cs="Calibri"/>
        </w:rPr>
        <w:t xml:space="preserve"> kuna kako slijedi:</w:t>
      </w:r>
    </w:p>
    <w:p w14:paraId="3B9F06AC" w14:textId="30BA2923" w:rsidR="00CC13D8" w:rsidRDefault="00CC13D8" w:rsidP="00CC13D8">
      <w:pPr>
        <w:pStyle w:val="Odlomakpopisa"/>
        <w:numPr>
          <w:ilvl w:val="0"/>
          <w:numId w:val="12"/>
        </w:numPr>
        <w:spacing w:line="240" w:lineRule="auto"/>
        <w:jc w:val="both"/>
        <w:rPr>
          <w:rFonts w:ascii="Calibri" w:eastAsia="Calibri" w:hAnsi="Calibri" w:cs="Calibri"/>
        </w:rPr>
      </w:pPr>
      <w:r>
        <w:rPr>
          <w:rFonts w:ascii="Calibri" w:eastAsia="Calibri" w:hAnsi="Calibri" w:cs="Calibri"/>
        </w:rPr>
        <w:t xml:space="preserve">tuđa imovina na korištenju (zgrada na adresi Augusta Šenoe 1) u vrijednosti </w:t>
      </w:r>
      <w:r w:rsidR="00FD770B">
        <w:rPr>
          <w:rFonts w:ascii="Calibri" w:eastAsia="Calibri" w:hAnsi="Calibri" w:cs="Calibri"/>
        </w:rPr>
        <w:t>2.</w:t>
      </w:r>
      <w:r w:rsidR="00C54BE5">
        <w:rPr>
          <w:rFonts w:ascii="Calibri" w:eastAsia="Calibri" w:hAnsi="Calibri" w:cs="Calibri"/>
        </w:rPr>
        <w:t>925</w:t>
      </w:r>
      <w:r w:rsidR="00FD770B">
        <w:rPr>
          <w:rFonts w:ascii="Calibri" w:eastAsia="Calibri" w:hAnsi="Calibri" w:cs="Calibri"/>
        </w:rPr>
        <w:t>.</w:t>
      </w:r>
      <w:r w:rsidR="00C54BE5">
        <w:rPr>
          <w:rFonts w:ascii="Calibri" w:eastAsia="Calibri" w:hAnsi="Calibri" w:cs="Calibri"/>
        </w:rPr>
        <w:t>255</w:t>
      </w:r>
    </w:p>
    <w:p w14:paraId="5ECFC94D" w14:textId="4E58DF1F" w:rsidR="00CC13D8" w:rsidRDefault="00CC13D8" w:rsidP="00CC13D8">
      <w:pPr>
        <w:pStyle w:val="Odlomakpopisa"/>
        <w:numPr>
          <w:ilvl w:val="0"/>
          <w:numId w:val="12"/>
        </w:numPr>
        <w:spacing w:line="240" w:lineRule="auto"/>
        <w:jc w:val="both"/>
        <w:rPr>
          <w:rFonts w:ascii="Calibri" w:eastAsia="Calibri" w:hAnsi="Calibri" w:cs="Calibri"/>
        </w:rPr>
      </w:pPr>
      <w:r>
        <w:rPr>
          <w:rFonts w:ascii="Calibri" w:eastAsia="Calibri" w:hAnsi="Calibri" w:cs="Calibri"/>
        </w:rPr>
        <w:t xml:space="preserve">instrumenti osiguranja plaćanja – primljene bjanko zadužnice u iznosu </w:t>
      </w:r>
      <w:r w:rsidR="00C54BE5">
        <w:rPr>
          <w:rFonts w:ascii="Calibri" w:eastAsia="Calibri" w:hAnsi="Calibri" w:cs="Calibri"/>
        </w:rPr>
        <w:t>531.519</w:t>
      </w:r>
    </w:p>
    <w:p w14:paraId="646A807D" w14:textId="005823EB" w:rsidR="00CC13D8" w:rsidRPr="00CC13D8" w:rsidRDefault="00CC13D8" w:rsidP="00CC13D8">
      <w:pPr>
        <w:pStyle w:val="Odlomakpopisa"/>
        <w:numPr>
          <w:ilvl w:val="0"/>
          <w:numId w:val="12"/>
        </w:numPr>
        <w:spacing w:line="240" w:lineRule="auto"/>
        <w:jc w:val="both"/>
        <w:rPr>
          <w:rFonts w:ascii="Calibri" w:eastAsia="Calibri" w:hAnsi="Calibri" w:cs="Calibri"/>
        </w:rPr>
      </w:pPr>
      <w:r>
        <w:rPr>
          <w:rFonts w:ascii="Calibri" w:eastAsia="Calibri" w:hAnsi="Calibri" w:cs="Calibri"/>
        </w:rPr>
        <w:t xml:space="preserve">instrumenti osiguranja plaćanja – izdane bjanko zadužnicu se iznosu </w:t>
      </w:r>
      <w:r w:rsidR="00FD770B">
        <w:rPr>
          <w:rFonts w:ascii="Calibri" w:eastAsia="Calibri" w:hAnsi="Calibri" w:cs="Calibri"/>
        </w:rPr>
        <w:t>5</w:t>
      </w:r>
      <w:r w:rsidR="00C54BE5">
        <w:rPr>
          <w:rFonts w:ascii="Calibri" w:eastAsia="Calibri" w:hAnsi="Calibri" w:cs="Calibri"/>
        </w:rPr>
        <w:t>2</w:t>
      </w:r>
      <w:r>
        <w:rPr>
          <w:rFonts w:ascii="Calibri" w:eastAsia="Calibri" w:hAnsi="Calibri" w:cs="Calibri"/>
        </w:rPr>
        <w:t>0.000</w:t>
      </w:r>
      <w:r w:rsidR="00C05C2B">
        <w:rPr>
          <w:rFonts w:ascii="Calibri" w:eastAsia="Calibri" w:hAnsi="Calibri" w:cs="Calibri"/>
        </w:rPr>
        <w:t>.</w:t>
      </w:r>
      <w:r>
        <w:rPr>
          <w:rFonts w:ascii="Calibri" w:eastAsia="Calibri" w:hAnsi="Calibri" w:cs="Calibri"/>
        </w:rPr>
        <w:t xml:space="preserve"> </w:t>
      </w:r>
    </w:p>
    <w:p w14:paraId="64D01C5E" w14:textId="77777777" w:rsidR="00B11CAE" w:rsidRDefault="00B11CAE" w:rsidP="00202C81">
      <w:pPr>
        <w:spacing w:line="240" w:lineRule="auto"/>
        <w:jc w:val="both"/>
        <w:rPr>
          <w:rFonts w:ascii="Calibri" w:eastAsia="Calibri" w:hAnsi="Calibri" w:cs="Calibri"/>
          <w:b/>
          <w:u w:val="single"/>
        </w:rPr>
      </w:pPr>
    </w:p>
    <w:p w14:paraId="33C5A1AD" w14:textId="64FD42CE" w:rsidR="00C81E7A" w:rsidRDefault="00C81E7A" w:rsidP="00202C81">
      <w:pPr>
        <w:spacing w:line="240" w:lineRule="auto"/>
        <w:jc w:val="both"/>
        <w:rPr>
          <w:rFonts w:ascii="Calibri" w:eastAsia="Calibri" w:hAnsi="Calibri" w:cs="Calibri"/>
          <w:b/>
          <w:u w:val="single"/>
        </w:rPr>
      </w:pPr>
    </w:p>
    <w:p w14:paraId="62F8CC00" w14:textId="7DB6FCCE" w:rsidR="00D80A04" w:rsidRDefault="00D80A04" w:rsidP="00202C81">
      <w:pPr>
        <w:spacing w:line="240" w:lineRule="auto"/>
        <w:jc w:val="both"/>
        <w:rPr>
          <w:rFonts w:ascii="Calibri" w:eastAsia="Calibri" w:hAnsi="Calibri" w:cs="Calibri"/>
          <w:b/>
          <w:u w:val="single"/>
        </w:rPr>
      </w:pPr>
    </w:p>
    <w:p w14:paraId="700D5EBF" w14:textId="4BF8C597" w:rsidR="00D80A04" w:rsidRDefault="00D80A04" w:rsidP="00202C81">
      <w:pPr>
        <w:spacing w:line="240" w:lineRule="auto"/>
        <w:jc w:val="both"/>
        <w:rPr>
          <w:rFonts w:ascii="Calibri" w:eastAsia="Calibri" w:hAnsi="Calibri" w:cs="Calibri"/>
          <w:b/>
          <w:u w:val="single"/>
        </w:rPr>
      </w:pPr>
    </w:p>
    <w:p w14:paraId="21C1039B" w14:textId="04B40B4F" w:rsidR="00D80A04" w:rsidRDefault="00D80A04" w:rsidP="00202C81">
      <w:pPr>
        <w:spacing w:line="240" w:lineRule="auto"/>
        <w:jc w:val="both"/>
        <w:rPr>
          <w:rFonts w:ascii="Calibri" w:eastAsia="Calibri" w:hAnsi="Calibri" w:cs="Calibri"/>
          <w:b/>
          <w:u w:val="single"/>
        </w:rPr>
      </w:pPr>
    </w:p>
    <w:p w14:paraId="0A227972" w14:textId="77777777" w:rsidR="00D80A04" w:rsidRDefault="00D80A04" w:rsidP="00202C81">
      <w:pPr>
        <w:spacing w:line="240" w:lineRule="auto"/>
        <w:jc w:val="both"/>
        <w:rPr>
          <w:rFonts w:ascii="Calibri" w:eastAsia="Calibri" w:hAnsi="Calibri" w:cs="Calibri"/>
          <w:b/>
          <w:u w:val="single"/>
        </w:rPr>
      </w:pPr>
    </w:p>
    <w:p w14:paraId="1EDD1DA3" w14:textId="356D0E2D" w:rsidR="00227251" w:rsidRDefault="00227251" w:rsidP="00202C81">
      <w:pPr>
        <w:spacing w:line="240" w:lineRule="auto"/>
        <w:jc w:val="both"/>
        <w:rPr>
          <w:rFonts w:ascii="Calibri" w:eastAsia="Calibri" w:hAnsi="Calibri" w:cs="Calibri"/>
          <w:b/>
          <w:u w:val="single"/>
        </w:rPr>
      </w:pPr>
      <w:r>
        <w:rPr>
          <w:rFonts w:ascii="Calibri" w:eastAsia="Calibri" w:hAnsi="Calibri" w:cs="Calibri"/>
          <w:b/>
          <w:u w:val="single"/>
        </w:rPr>
        <w:t>Obvezna bilješka uz Bilancu: Popis ugovornih odnosa i slično koji uz ispunjenje određenih uvjeta mogu postati obveza ili imovina</w:t>
      </w:r>
    </w:p>
    <w:p w14:paraId="23C6C7BD" w14:textId="4109DAE1" w:rsidR="00B11CAE" w:rsidRDefault="00972F71" w:rsidP="00202C81">
      <w:pPr>
        <w:spacing w:line="240" w:lineRule="auto"/>
        <w:jc w:val="both"/>
        <w:rPr>
          <w:rFonts w:ascii="Calibri" w:eastAsia="Calibri" w:hAnsi="Calibri" w:cs="Calibri"/>
        </w:rPr>
      </w:pPr>
      <w:r>
        <w:rPr>
          <w:rFonts w:ascii="Calibri" w:eastAsia="Calibri" w:hAnsi="Calibri" w:cs="Calibri"/>
        </w:rPr>
        <w:t xml:space="preserve">Ukupna vrijednost izdanih instrumenata osiguranja  je </w:t>
      </w:r>
      <w:r w:rsidR="00D80A04">
        <w:rPr>
          <w:rFonts w:ascii="Calibri" w:eastAsia="Calibri" w:hAnsi="Calibri" w:cs="Calibri"/>
        </w:rPr>
        <w:t>520.000</w:t>
      </w:r>
      <w:r>
        <w:rPr>
          <w:rFonts w:ascii="Calibri" w:eastAsia="Calibri" w:hAnsi="Calibri" w:cs="Calibri"/>
        </w:rPr>
        <w:t xml:space="preserve"> kuna prema evidenciji kako slijedi:</w:t>
      </w:r>
    </w:p>
    <w:tbl>
      <w:tblPr>
        <w:tblW w:w="8800" w:type="dxa"/>
        <w:tblInd w:w="93" w:type="dxa"/>
        <w:tblLook w:val="04A0" w:firstRow="1" w:lastRow="0" w:firstColumn="1" w:lastColumn="0" w:noHBand="0" w:noVBand="1"/>
      </w:tblPr>
      <w:tblGrid>
        <w:gridCol w:w="1040"/>
        <w:gridCol w:w="3420"/>
        <w:gridCol w:w="1900"/>
        <w:gridCol w:w="2440"/>
      </w:tblGrid>
      <w:tr w:rsidR="00D01469" w:rsidRPr="00D01469" w14:paraId="1061D75B" w14:textId="77777777" w:rsidTr="00D01469">
        <w:trPr>
          <w:trHeight w:val="900"/>
        </w:trPr>
        <w:tc>
          <w:tcPr>
            <w:tcW w:w="10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BE9691E"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xml:space="preserve">R.br. </w:t>
            </w:r>
          </w:p>
        </w:tc>
        <w:tc>
          <w:tcPr>
            <w:tcW w:w="3420" w:type="dxa"/>
            <w:tcBorders>
              <w:top w:val="single" w:sz="4" w:space="0" w:color="auto"/>
              <w:left w:val="nil"/>
              <w:bottom w:val="single" w:sz="4" w:space="0" w:color="auto"/>
              <w:right w:val="single" w:sz="4" w:space="0" w:color="auto"/>
            </w:tcBorders>
            <w:shd w:val="clear" w:color="000000" w:fill="D0CECE"/>
            <w:vAlign w:val="center"/>
            <w:hideMark/>
          </w:tcPr>
          <w:p w14:paraId="64725400"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Vrsta izdanih instrumenata osiguranja</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14:paraId="110D755F"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Broj izdanih instrumenata osiguranja</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14:paraId="4C5C6A2B"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Ukupna vrijednost u kunama</w:t>
            </w:r>
          </w:p>
        </w:tc>
      </w:tr>
      <w:tr w:rsidR="00D01469" w:rsidRPr="00D01469" w14:paraId="4BB852E6"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48F6879"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p>
        </w:tc>
        <w:tc>
          <w:tcPr>
            <w:tcW w:w="3420" w:type="dxa"/>
            <w:tcBorders>
              <w:top w:val="nil"/>
              <w:left w:val="nil"/>
              <w:bottom w:val="single" w:sz="4" w:space="0" w:color="auto"/>
              <w:right w:val="single" w:sz="4" w:space="0" w:color="auto"/>
            </w:tcBorders>
            <w:shd w:val="clear" w:color="auto" w:fill="auto"/>
            <w:noWrap/>
            <w:vAlign w:val="bottom"/>
            <w:hideMark/>
          </w:tcPr>
          <w:p w14:paraId="5CA79617"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Bjanko zadužnica</w:t>
            </w:r>
          </w:p>
        </w:tc>
        <w:tc>
          <w:tcPr>
            <w:tcW w:w="1900" w:type="dxa"/>
            <w:tcBorders>
              <w:top w:val="nil"/>
              <w:left w:val="nil"/>
              <w:bottom w:val="single" w:sz="4" w:space="0" w:color="auto"/>
              <w:right w:val="single" w:sz="4" w:space="0" w:color="auto"/>
            </w:tcBorders>
            <w:shd w:val="clear" w:color="auto" w:fill="auto"/>
            <w:noWrap/>
            <w:vAlign w:val="bottom"/>
            <w:hideMark/>
          </w:tcPr>
          <w:p w14:paraId="2435C9AC" w14:textId="3F123631" w:rsidR="00D01469" w:rsidRPr="00D01469" w:rsidRDefault="00E13F99"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w:t>
            </w:r>
          </w:p>
        </w:tc>
        <w:tc>
          <w:tcPr>
            <w:tcW w:w="2440" w:type="dxa"/>
            <w:tcBorders>
              <w:top w:val="nil"/>
              <w:left w:val="nil"/>
              <w:bottom w:val="single" w:sz="4" w:space="0" w:color="auto"/>
              <w:right w:val="single" w:sz="4" w:space="0" w:color="auto"/>
            </w:tcBorders>
            <w:shd w:val="clear" w:color="auto" w:fill="auto"/>
            <w:noWrap/>
            <w:vAlign w:val="bottom"/>
            <w:hideMark/>
          </w:tcPr>
          <w:p w14:paraId="3E8692BE" w14:textId="1C61F474" w:rsidR="00D01469"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520.000,00</w:t>
            </w:r>
          </w:p>
        </w:tc>
      </w:tr>
      <w:tr w:rsidR="00D01469" w:rsidRPr="00D01469" w14:paraId="7951770B"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9510D27"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c>
          <w:tcPr>
            <w:tcW w:w="3420" w:type="dxa"/>
            <w:tcBorders>
              <w:top w:val="nil"/>
              <w:left w:val="nil"/>
              <w:bottom w:val="single" w:sz="4" w:space="0" w:color="auto"/>
              <w:right w:val="single" w:sz="4" w:space="0" w:color="auto"/>
            </w:tcBorders>
            <w:shd w:val="clear" w:color="auto" w:fill="auto"/>
            <w:noWrap/>
            <w:vAlign w:val="bottom"/>
            <w:hideMark/>
          </w:tcPr>
          <w:p w14:paraId="35729BF0"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14:paraId="08D508F4" w14:textId="0F6ACAED" w:rsidR="00D01469" w:rsidRPr="00D01469" w:rsidRDefault="00E13F99" w:rsidP="00D01469">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3</w:t>
            </w:r>
          </w:p>
        </w:tc>
        <w:tc>
          <w:tcPr>
            <w:tcW w:w="2440" w:type="dxa"/>
            <w:tcBorders>
              <w:top w:val="nil"/>
              <w:left w:val="nil"/>
              <w:bottom w:val="single" w:sz="4" w:space="0" w:color="auto"/>
              <w:right w:val="single" w:sz="4" w:space="0" w:color="auto"/>
            </w:tcBorders>
            <w:shd w:val="clear" w:color="auto" w:fill="auto"/>
            <w:noWrap/>
            <w:vAlign w:val="bottom"/>
            <w:hideMark/>
          </w:tcPr>
          <w:p w14:paraId="6FC5260B"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r>
    </w:tbl>
    <w:p w14:paraId="4550D55C" w14:textId="77777777" w:rsidR="00972F71" w:rsidRDefault="00972F71" w:rsidP="00202C81">
      <w:pPr>
        <w:spacing w:line="240" w:lineRule="auto"/>
        <w:jc w:val="both"/>
        <w:rPr>
          <w:rFonts w:ascii="Calibri" w:eastAsia="Calibri" w:hAnsi="Calibri" w:cs="Calibri"/>
        </w:rPr>
      </w:pPr>
    </w:p>
    <w:p w14:paraId="491607B5" w14:textId="642F4126" w:rsidR="00D01469" w:rsidRDefault="00D01469" w:rsidP="00202C81">
      <w:pPr>
        <w:spacing w:line="240" w:lineRule="auto"/>
        <w:jc w:val="both"/>
        <w:rPr>
          <w:rFonts w:ascii="Calibri" w:eastAsia="Calibri" w:hAnsi="Calibri" w:cs="Calibri"/>
        </w:rPr>
      </w:pPr>
      <w:r>
        <w:rPr>
          <w:rFonts w:ascii="Calibri" w:eastAsia="Calibri" w:hAnsi="Calibri" w:cs="Calibri"/>
        </w:rPr>
        <w:t xml:space="preserve">Ukupna vrijednost primljenih vrijednosnih papira iznosi </w:t>
      </w:r>
      <w:r w:rsidR="00D80A04">
        <w:rPr>
          <w:rFonts w:ascii="Calibri" w:eastAsia="Calibri" w:hAnsi="Calibri" w:cs="Calibri"/>
        </w:rPr>
        <w:t>531.519</w:t>
      </w:r>
      <w:r>
        <w:rPr>
          <w:rFonts w:ascii="Calibri" w:eastAsia="Calibri" w:hAnsi="Calibri" w:cs="Calibri"/>
        </w:rPr>
        <w:t xml:space="preserve"> kuna prema evidenciji kako slijedi:</w:t>
      </w:r>
    </w:p>
    <w:tbl>
      <w:tblPr>
        <w:tblW w:w="8800" w:type="dxa"/>
        <w:tblInd w:w="93" w:type="dxa"/>
        <w:tblLook w:val="04A0" w:firstRow="1" w:lastRow="0" w:firstColumn="1" w:lastColumn="0" w:noHBand="0" w:noVBand="1"/>
      </w:tblPr>
      <w:tblGrid>
        <w:gridCol w:w="1040"/>
        <w:gridCol w:w="3420"/>
        <w:gridCol w:w="1900"/>
        <w:gridCol w:w="2440"/>
      </w:tblGrid>
      <w:tr w:rsidR="00D01469" w:rsidRPr="00D01469" w14:paraId="0B0F8A9F" w14:textId="77777777" w:rsidTr="00D01469">
        <w:trPr>
          <w:trHeight w:val="900"/>
        </w:trPr>
        <w:tc>
          <w:tcPr>
            <w:tcW w:w="104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D328A0F"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xml:space="preserve">R.br. </w:t>
            </w:r>
          </w:p>
        </w:tc>
        <w:tc>
          <w:tcPr>
            <w:tcW w:w="3420" w:type="dxa"/>
            <w:tcBorders>
              <w:top w:val="single" w:sz="4" w:space="0" w:color="auto"/>
              <w:left w:val="nil"/>
              <w:bottom w:val="single" w:sz="4" w:space="0" w:color="auto"/>
              <w:right w:val="single" w:sz="4" w:space="0" w:color="auto"/>
            </w:tcBorders>
            <w:shd w:val="clear" w:color="000000" w:fill="D0CECE"/>
            <w:vAlign w:val="center"/>
            <w:hideMark/>
          </w:tcPr>
          <w:p w14:paraId="46E76373"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Vrsta primljenih instrumenata osiguranja</w:t>
            </w:r>
          </w:p>
        </w:tc>
        <w:tc>
          <w:tcPr>
            <w:tcW w:w="1900" w:type="dxa"/>
            <w:tcBorders>
              <w:top w:val="single" w:sz="4" w:space="0" w:color="auto"/>
              <w:left w:val="nil"/>
              <w:bottom w:val="single" w:sz="4" w:space="0" w:color="auto"/>
              <w:right w:val="single" w:sz="4" w:space="0" w:color="auto"/>
            </w:tcBorders>
            <w:shd w:val="clear" w:color="000000" w:fill="D0CECE"/>
            <w:vAlign w:val="center"/>
            <w:hideMark/>
          </w:tcPr>
          <w:p w14:paraId="35DF1250"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Broj primljenih instrumenata osiguranja</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14:paraId="49CE513E"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Ukupna vrijednost u kunama</w:t>
            </w:r>
          </w:p>
        </w:tc>
      </w:tr>
      <w:tr w:rsidR="00D01469" w:rsidRPr="00D01469" w14:paraId="6E0EB869"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45BA18"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1.</w:t>
            </w:r>
          </w:p>
        </w:tc>
        <w:tc>
          <w:tcPr>
            <w:tcW w:w="3420" w:type="dxa"/>
            <w:tcBorders>
              <w:top w:val="nil"/>
              <w:left w:val="nil"/>
              <w:bottom w:val="single" w:sz="4" w:space="0" w:color="auto"/>
              <w:right w:val="single" w:sz="4" w:space="0" w:color="auto"/>
            </w:tcBorders>
            <w:shd w:val="clear" w:color="auto" w:fill="auto"/>
            <w:noWrap/>
            <w:vAlign w:val="bottom"/>
            <w:hideMark/>
          </w:tcPr>
          <w:p w14:paraId="04011DBD" w14:textId="77777777" w:rsidR="00D01469" w:rsidRPr="00D01469" w:rsidRDefault="00D01469" w:rsidP="00D01469">
            <w:pPr>
              <w:spacing w:after="0" w:line="240" w:lineRule="auto"/>
              <w:jc w:val="center"/>
              <w:rPr>
                <w:rFonts w:ascii="Calibri" w:eastAsia="Times New Roman" w:hAnsi="Calibri" w:cs="Times New Roman"/>
                <w:color w:val="000000"/>
                <w:lang w:eastAsia="hr-HR"/>
              </w:rPr>
            </w:pPr>
            <w:r w:rsidRPr="00D01469">
              <w:rPr>
                <w:rFonts w:ascii="Calibri" w:eastAsia="Times New Roman" w:hAnsi="Calibri" w:cs="Times New Roman"/>
                <w:color w:val="000000"/>
                <w:lang w:eastAsia="hr-HR"/>
              </w:rPr>
              <w:t>Bjanko zadužnica</w:t>
            </w:r>
          </w:p>
        </w:tc>
        <w:tc>
          <w:tcPr>
            <w:tcW w:w="1900" w:type="dxa"/>
            <w:tcBorders>
              <w:top w:val="nil"/>
              <w:left w:val="nil"/>
              <w:bottom w:val="single" w:sz="4" w:space="0" w:color="auto"/>
              <w:right w:val="single" w:sz="4" w:space="0" w:color="auto"/>
            </w:tcBorders>
            <w:shd w:val="clear" w:color="auto" w:fill="auto"/>
            <w:noWrap/>
            <w:vAlign w:val="bottom"/>
            <w:hideMark/>
          </w:tcPr>
          <w:p w14:paraId="39DE883E" w14:textId="0ED84303" w:rsidR="00D01469"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c>
          <w:tcPr>
            <w:tcW w:w="2440" w:type="dxa"/>
            <w:tcBorders>
              <w:top w:val="nil"/>
              <w:left w:val="nil"/>
              <w:bottom w:val="single" w:sz="4" w:space="0" w:color="auto"/>
              <w:right w:val="single" w:sz="4" w:space="0" w:color="auto"/>
            </w:tcBorders>
            <w:shd w:val="clear" w:color="auto" w:fill="auto"/>
            <w:noWrap/>
            <w:vAlign w:val="bottom"/>
            <w:hideMark/>
          </w:tcPr>
          <w:p w14:paraId="291D8F49" w14:textId="64BBEC62" w:rsidR="00D01469"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400.000,00</w:t>
            </w:r>
          </w:p>
        </w:tc>
      </w:tr>
      <w:tr w:rsidR="00D80A04" w:rsidRPr="00D01469" w14:paraId="3F1DB7C4"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28038DD7" w14:textId="4353D24D" w:rsidR="00D80A04"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p>
        </w:tc>
        <w:tc>
          <w:tcPr>
            <w:tcW w:w="3420" w:type="dxa"/>
            <w:tcBorders>
              <w:top w:val="nil"/>
              <w:left w:val="nil"/>
              <w:bottom w:val="single" w:sz="4" w:space="0" w:color="auto"/>
              <w:right w:val="single" w:sz="4" w:space="0" w:color="auto"/>
            </w:tcBorders>
            <w:shd w:val="clear" w:color="auto" w:fill="auto"/>
            <w:noWrap/>
            <w:vAlign w:val="bottom"/>
          </w:tcPr>
          <w:p w14:paraId="2B654121" w14:textId="17EE5C95" w:rsidR="00D80A04"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Bankovna garancija</w:t>
            </w:r>
          </w:p>
        </w:tc>
        <w:tc>
          <w:tcPr>
            <w:tcW w:w="1900" w:type="dxa"/>
            <w:tcBorders>
              <w:top w:val="nil"/>
              <w:left w:val="nil"/>
              <w:bottom w:val="single" w:sz="4" w:space="0" w:color="auto"/>
              <w:right w:val="single" w:sz="4" w:space="0" w:color="auto"/>
            </w:tcBorders>
            <w:shd w:val="clear" w:color="auto" w:fill="auto"/>
            <w:noWrap/>
            <w:vAlign w:val="bottom"/>
          </w:tcPr>
          <w:p w14:paraId="66806887" w14:textId="2E62788D" w:rsidR="00D80A04"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2440" w:type="dxa"/>
            <w:tcBorders>
              <w:top w:val="nil"/>
              <w:left w:val="nil"/>
              <w:bottom w:val="single" w:sz="4" w:space="0" w:color="auto"/>
              <w:right w:val="single" w:sz="4" w:space="0" w:color="auto"/>
            </w:tcBorders>
            <w:shd w:val="clear" w:color="auto" w:fill="auto"/>
            <w:noWrap/>
            <w:vAlign w:val="bottom"/>
          </w:tcPr>
          <w:p w14:paraId="6736DF34" w14:textId="59BC722E" w:rsidR="00D80A04" w:rsidRPr="00D01469" w:rsidRDefault="00D80A04" w:rsidP="00D014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131.519,37</w:t>
            </w:r>
          </w:p>
        </w:tc>
      </w:tr>
      <w:tr w:rsidR="00D01469" w:rsidRPr="00D01469" w14:paraId="7A3B9359" w14:textId="77777777" w:rsidTr="00D0146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5C58CA1"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 </w:t>
            </w:r>
          </w:p>
        </w:tc>
        <w:tc>
          <w:tcPr>
            <w:tcW w:w="3420" w:type="dxa"/>
            <w:tcBorders>
              <w:top w:val="nil"/>
              <w:left w:val="nil"/>
              <w:bottom w:val="single" w:sz="4" w:space="0" w:color="auto"/>
              <w:right w:val="single" w:sz="4" w:space="0" w:color="auto"/>
            </w:tcBorders>
            <w:shd w:val="clear" w:color="auto" w:fill="auto"/>
            <w:noWrap/>
            <w:vAlign w:val="bottom"/>
            <w:hideMark/>
          </w:tcPr>
          <w:p w14:paraId="46B0D953" w14:textId="77777777" w:rsidR="00D01469" w:rsidRPr="00D01469" w:rsidRDefault="00D01469" w:rsidP="00D01469">
            <w:pPr>
              <w:spacing w:after="0" w:line="240" w:lineRule="auto"/>
              <w:jc w:val="center"/>
              <w:rPr>
                <w:rFonts w:ascii="Calibri" w:eastAsia="Times New Roman" w:hAnsi="Calibri" w:cs="Times New Roman"/>
                <w:b/>
                <w:bCs/>
                <w:color w:val="000000"/>
                <w:lang w:eastAsia="hr-HR"/>
              </w:rPr>
            </w:pPr>
            <w:r w:rsidRPr="00D01469">
              <w:rPr>
                <w:rFonts w:ascii="Calibri" w:eastAsia="Times New Roman" w:hAnsi="Calibri" w:cs="Times New Roman"/>
                <w:b/>
                <w:bCs/>
                <w:color w:val="000000"/>
                <w:lang w:eastAsia="hr-HR"/>
              </w:rPr>
              <w:t>UKUPNO:</w:t>
            </w:r>
          </w:p>
        </w:tc>
        <w:tc>
          <w:tcPr>
            <w:tcW w:w="1900" w:type="dxa"/>
            <w:tcBorders>
              <w:top w:val="nil"/>
              <w:left w:val="nil"/>
              <w:bottom w:val="single" w:sz="4" w:space="0" w:color="auto"/>
              <w:right w:val="single" w:sz="4" w:space="0" w:color="auto"/>
            </w:tcBorders>
            <w:shd w:val="clear" w:color="auto" w:fill="auto"/>
            <w:noWrap/>
            <w:vAlign w:val="bottom"/>
            <w:hideMark/>
          </w:tcPr>
          <w:p w14:paraId="098E2105" w14:textId="2ED8199C" w:rsidR="00D01469" w:rsidRPr="00D01469" w:rsidRDefault="00D80A04" w:rsidP="00D01469">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5</w:t>
            </w:r>
          </w:p>
        </w:tc>
        <w:tc>
          <w:tcPr>
            <w:tcW w:w="2440" w:type="dxa"/>
            <w:tcBorders>
              <w:top w:val="nil"/>
              <w:left w:val="nil"/>
              <w:bottom w:val="single" w:sz="4" w:space="0" w:color="auto"/>
              <w:right w:val="single" w:sz="4" w:space="0" w:color="auto"/>
            </w:tcBorders>
            <w:shd w:val="clear" w:color="auto" w:fill="auto"/>
            <w:noWrap/>
            <w:vAlign w:val="bottom"/>
            <w:hideMark/>
          </w:tcPr>
          <w:p w14:paraId="2C956474" w14:textId="33EC183D" w:rsidR="00D01469" w:rsidRPr="00D01469" w:rsidRDefault="00D80A04" w:rsidP="00D01469">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531.519,37</w:t>
            </w:r>
            <w:r w:rsidR="00D01469" w:rsidRPr="00D01469">
              <w:rPr>
                <w:rFonts w:ascii="Calibri" w:eastAsia="Times New Roman" w:hAnsi="Calibri" w:cs="Times New Roman"/>
                <w:b/>
                <w:bCs/>
                <w:color w:val="000000"/>
                <w:lang w:eastAsia="hr-HR"/>
              </w:rPr>
              <w:t> </w:t>
            </w:r>
          </w:p>
        </w:tc>
      </w:tr>
    </w:tbl>
    <w:p w14:paraId="5A90BC09" w14:textId="77777777" w:rsidR="00D01469" w:rsidRDefault="00D01469" w:rsidP="00202C81">
      <w:pPr>
        <w:spacing w:line="240" w:lineRule="auto"/>
        <w:jc w:val="both"/>
        <w:rPr>
          <w:rFonts w:ascii="Calibri" w:eastAsia="Calibri" w:hAnsi="Calibri" w:cs="Calibri"/>
        </w:rPr>
      </w:pPr>
    </w:p>
    <w:p w14:paraId="3BC8788F" w14:textId="77777777" w:rsidR="00C81E7A" w:rsidRDefault="00C81E7A" w:rsidP="00202C81">
      <w:pPr>
        <w:spacing w:line="240" w:lineRule="auto"/>
        <w:jc w:val="both"/>
        <w:rPr>
          <w:rFonts w:ascii="Calibri" w:eastAsia="Calibri" w:hAnsi="Calibri" w:cs="Calibri"/>
          <w:b/>
          <w:u w:val="single"/>
        </w:rPr>
      </w:pPr>
    </w:p>
    <w:p w14:paraId="7D8A8519" w14:textId="692B4379" w:rsidR="00D01469" w:rsidRDefault="00D01469" w:rsidP="00202C81">
      <w:pPr>
        <w:spacing w:line="240" w:lineRule="auto"/>
        <w:jc w:val="both"/>
        <w:rPr>
          <w:rFonts w:ascii="Calibri" w:eastAsia="Calibri" w:hAnsi="Calibri" w:cs="Calibri"/>
          <w:b/>
          <w:u w:val="single"/>
        </w:rPr>
      </w:pPr>
      <w:r>
        <w:rPr>
          <w:rFonts w:ascii="Calibri" w:eastAsia="Calibri" w:hAnsi="Calibri" w:cs="Calibri"/>
          <w:b/>
          <w:u w:val="single"/>
        </w:rPr>
        <w:t>Obvezna bilješka uz Bilancu: Popis sudskih sporova u tijeku</w:t>
      </w:r>
    </w:p>
    <w:p w14:paraId="46211C7F" w14:textId="77777777" w:rsidR="002E2525" w:rsidRDefault="00D01469" w:rsidP="002E2525">
      <w:pPr>
        <w:spacing w:line="240" w:lineRule="auto"/>
        <w:jc w:val="both"/>
        <w:rPr>
          <w:rFonts w:ascii="Calibri" w:eastAsia="Calibri" w:hAnsi="Calibri" w:cs="Calibri"/>
        </w:rPr>
      </w:pPr>
      <w:r>
        <w:rPr>
          <w:rFonts w:ascii="Calibri" w:eastAsia="Calibri" w:hAnsi="Calibri" w:cs="Calibri"/>
        </w:rPr>
        <w:t>VIDRA-Agencija za regionalni razvoj Virovitičko-podravske županije nema sudskih sporova u tijeku.</w:t>
      </w:r>
    </w:p>
    <w:p w14:paraId="71F1ED58" w14:textId="77777777" w:rsidR="00C81E7A" w:rsidRDefault="00C81E7A" w:rsidP="002E2525">
      <w:pPr>
        <w:spacing w:line="240" w:lineRule="auto"/>
        <w:jc w:val="both"/>
        <w:rPr>
          <w:rFonts w:cs="Arial"/>
          <w:b/>
          <w:sz w:val="24"/>
          <w:u w:val="single"/>
        </w:rPr>
      </w:pPr>
    </w:p>
    <w:p w14:paraId="7F4F1D42" w14:textId="7869125A" w:rsidR="002E7646" w:rsidRPr="002E2525" w:rsidRDefault="002E7646" w:rsidP="002E2525">
      <w:pPr>
        <w:spacing w:line="240" w:lineRule="auto"/>
        <w:jc w:val="both"/>
        <w:rPr>
          <w:rFonts w:ascii="Calibri" w:eastAsia="Calibri" w:hAnsi="Calibri" w:cs="Calibri"/>
        </w:rPr>
      </w:pPr>
      <w:r w:rsidRPr="009E36E3">
        <w:rPr>
          <w:rFonts w:cs="Arial"/>
          <w:b/>
          <w:sz w:val="24"/>
          <w:u w:val="single"/>
        </w:rPr>
        <w:t xml:space="preserve">Bilješke uz Obrazac: Izvještaj o </w:t>
      </w:r>
      <w:r>
        <w:rPr>
          <w:rFonts w:cs="Arial"/>
          <w:b/>
          <w:sz w:val="24"/>
          <w:u w:val="single"/>
        </w:rPr>
        <w:t>obvezama</w:t>
      </w:r>
    </w:p>
    <w:p w14:paraId="1922671D" w14:textId="77777777" w:rsidR="00F37C9E" w:rsidRDefault="002E7646" w:rsidP="00202C81">
      <w:pPr>
        <w:spacing w:line="240" w:lineRule="auto"/>
        <w:jc w:val="both"/>
        <w:rPr>
          <w:rFonts w:ascii="Calibri" w:eastAsia="Calibri" w:hAnsi="Calibri" w:cs="Calibri"/>
          <w:b/>
        </w:rPr>
      </w:pPr>
      <w:r w:rsidRPr="005968CE">
        <w:rPr>
          <w:rFonts w:ascii="Calibri" w:eastAsia="Calibri" w:hAnsi="Calibri" w:cs="Calibri"/>
          <w:b/>
        </w:rPr>
        <w:t>Bilješka broj 1 – vezana uz AOP 001</w:t>
      </w:r>
    </w:p>
    <w:p w14:paraId="57DA7A02" w14:textId="6326D776" w:rsidR="00124D16" w:rsidRPr="00124D16" w:rsidRDefault="00124D16" w:rsidP="00202C81">
      <w:pPr>
        <w:spacing w:line="240" w:lineRule="auto"/>
        <w:jc w:val="both"/>
        <w:rPr>
          <w:rFonts w:ascii="Calibri" w:eastAsia="Calibri" w:hAnsi="Calibri" w:cs="Calibri"/>
        </w:rPr>
      </w:pPr>
      <w:r>
        <w:rPr>
          <w:rFonts w:ascii="Calibri" w:eastAsia="Calibri" w:hAnsi="Calibri" w:cs="Calibri"/>
        </w:rPr>
        <w:lastRenderedPageBreak/>
        <w:t>Stanje obveza na početku izvještajnog razdoblja (1.01.20</w:t>
      </w:r>
      <w:r w:rsidR="00405C0F">
        <w:rPr>
          <w:rFonts w:ascii="Calibri" w:eastAsia="Calibri" w:hAnsi="Calibri" w:cs="Calibri"/>
        </w:rPr>
        <w:t>2</w:t>
      </w:r>
      <w:r w:rsidR="00D2039A">
        <w:rPr>
          <w:rFonts w:ascii="Calibri" w:eastAsia="Calibri" w:hAnsi="Calibri" w:cs="Calibri"/>
        </w:rPr>
        <w:t>1</w:t>
      </w:r>
      <w:r>
        <w:rPr>
          <w:rFonts w:ascii="Calibri" w:eastAsia="Calibri" w:hAnsi="Calibri" w:cs="Calibri"/>
        </w:rPr>
        <w:t xml:space="preserve">. godine) iznosilo je </w:t>
      </w:r>
      <w:r w:rsidR="00D2039A">
        <w:rPr>
          <w:rFonts w:ascii="Calibri" w:eastAsia="Calibri" w:hAnsi="Calibri" w:cs="Calibri"/>
        </w:rPr>
        <w:t>441.631</w:t>
      </w:r>
      <w:r>
        <w:rPr>
          <w:rFonts w:ascii="Calibri" w:eastAsia="Calibri" w:hAnsi="Calibri" w:cs="Calibri"/>
        </w:rPr>
        <w:t xml:space="preserve"> kun</w:t>
      </w:r>
      <w:r w:rsidR="00D2039A">
        <w:rPr>
          <w:rFonts w:ascii="Calibri" w:eastAsia="Calibri" w:hAnsi="Calibri" w:cs="Calibri"/>
        </w:rPr>
        <w:t>a</w:t>
      </w:r>
      <w:r>
        <w:rPr>
          <w:rFonts w:ascii="Calibri" w:eastAsia="Calibri" w:hAnsi="Calibri" w:cs="Calibri"/>
        </w:rPr>
        <w:t>.</w:t>
      </w:r>
    </w:p>
    <w:p w14:paraId="73877A96" w14:textId="365E6C8B" w:rsidR="005968CE" w:rsidRDefault="005968CE" w:rsidP="00202C81">
      <w:pPr>
        <w:spacing w:line="240" w:lineRule="auto"/>
        <w:jc w:val="both"/>
        <w:rPr>
          <w:rFonts w:ascii="Calibri" w:eastAsia="Calibri" w:hAnsi="Calibri" w:cs="Calibri"/>
          <w:b/>
        </w:rPr>
      </w:pPr>
      <w:r w:rsidRPr="005968CE">
        <w:rPr>
          <w:rFonts w:ascii="Calibri" w:eastAsia="Calibri" w:hAnsi="Calibri" w:cs="Calibri"/>
          <w:b/>
        </w:rPr>
        <w:t xml:space="preserve">Bilješka broj </w:t>
      </w:r>
      <w:r w:rsidR="00124D16">
        <w:rPr>
          <w:rFonts w:ascii="Calibri" w:eastAsia="Calibri" w:hAnsi="Calibri" w:cs="Calibri"/>
          <w:b/>
        </w:rPr>
        <w:t xml:space="preserve">2 – vezana uz AOP 002 do </w:t>
      </w:r>
      <w:r w:rsidR="0077282D">
        <w:rPr>
          <w:rFonts w:ascii="Calibri" w:eastAsia="Calibri" w:hAnsi="Calibri" w:cs="Calibri"/>
          <w:b/>
        </w:rPr>
        <w:t xml:space="preserve">AOP </w:t>
      </w:r>
      <w:r w:rsidR="00124D16">
        <w:rPr>
          <w:rFonts w:ascii="Calibri" w:eastAsia="Calibri" w:hAnsi="Calibri" w:cs="Calibri"/>
          <w:b/>
        </w:rPr>
        <w:t>018</w:t>
      </w:r>
    </w:p>
    <w:p w14:paraId="2F76C0DB" w14:textId="7F13F7DF" w:rsidR="00124D16" w:rsidRPr="00124D16" w:rsidRDefault="00124D16" w:rsidP="00202C81">
      <w:pPr>
        <w:spacing w:line="240" w:lineRule="auto"/>
        <w:jc w:val="both"/>
        <w:rPr>
          <w:rFonts w:ascii="Calibri" w:eastAsia="Calibri" w:hAnsi="Calibri" w:cs="Calibri"/>
        </w:rPr>
      </w:pPr>
      <w:r>
        <w:rPr>
          <w:rFonts w:ascii="Calibri" w:eastAsia="Calibri" w:hAnsi="Calibri" w:cs="Calibri"/>
        </w:rPr>
        <w:t>Povećanje obveza u izvještajnom razdoblju od 1.01. do 31.12.20</w:t>
      </w:r>
      <w:r w:rsidR="00405C0F">
        <w:rPr>
          <w:rFonts w:ascii="Calibri" w:eastAsia="Calibri" w:hAnsi="Calibri" w:cs="Calibri"/>
        </w:rPr>
        <w:t>2</w:t>
      </w:r>
      <w:r w:rsidR="00D2039A">
        <w:rPr>
          <w:rFonts w:ascii="Calibri" w:eastAsia="Calibri" w:hAnsi="Calibri" w:cs="Calibri"/>
        </w:rPr>
        <w:t>1</w:t>
      </w:r>
      <w:r>
        <w:rPr>
          <w:rFonts w:ascii="Calibri" w:eastAsia="Calibri" w:hAnsi="Calibri" w:cs="Calibri"/>
        </w:rPr>
        <w:t xml:space="preserve">. godine iznosilo je </w:t>
      </w:r>
      <w:r w:rsidR="00D2039A">
        <w:rPr>
          <w:rFonts w:ascii="Calibri" w:eastAsia="Calibri" w:hAnsi="Calibri" w:cs="Calibri"/>
        </w:rPr>
        <w:t>7.310.339</w:t>
      </w:r>
      <w:r>
        <w:rPr>
          <w:rFonts w:ascii="Calibri" w:eastAsia="Calibri" w:hAnsi="Calibri" w:cs="Calibri"/>
        </w:rPr>
        <w:t xml:space="preserve"> kuna, a odnosilo se na Obveze za zaposlene u iznosu </w:t>
      </w:r>
      <w:r w:rsidR="00D2039A">
        <w:rPr>
          <w:rFonts w:ascii="Calibri" w:eastAsia="Calibri" w:hAnsi="Calibri" w:cs="Calibri"/>
        </w:rPr>
        <w:t>4.476.840</w:t>
      </w:r>
      <w:r>
        <w:rPr>
          <w:rFonts w:ascii="Calibri" w:eastAsia="Calibri" w:hAnsi="Calibri" w:cs="Calibri"/>
        </w:rPr>
        <w:t xml:space="preserve"> kuna, Obveze za materijalne rashode u iznosu </w:t>
      </w:r>
      <w:r w:rsidR="00D2039A">
        <w:rPr>
          <w:rFonts w:ascii="Calibri" w:eastAsia="Calibri" w:hAnsi="Calibri" w:cs="Calibri"/>
        </w:rPr>
        <w:t>776.236</w:t>
      </w:r>
      <w:r>
        <w:rPr>
          <w:rFonts w:ascii="Calibri" w:eastAsia="Calibri" w:hAnsi="Calibri" w:cs="Calibri"/>
        </w:rPr>
        <w:t xml:space="preserve"> kuna,</w:t>
      </w:r>
      <w:r w:rsidR="00D2039A">
        <w:rPr>
          <w:rFonts w:ascii="Calibri" w:eastAsia="Calibri" w:hAnsi="Calibri" w:cs="Calibri"/>
        </w:rPr>
        <w:t xml:space="preserve"> Obveze za financijske rashode u iznosu od 6.152 kune,</w:t>
      </w:r>
      <w:r>
        <w:rPr>
          <w:rFonts w:ascii="Calibri" w:eastAsia="Calibri" w:hAnsi="Calibri" w:cs="Calibri"/>
        </w:rPr>
        <w:t xml:space="preserve"> Ostale tekuće obveze u iznosu </w:t>
      </w:r>
      <w:r w:rsidR="00D2039A">
        <w:rPr>
          <w:rFonts w:ascii="Calibri" w:eastAsia="Calibri" w:hAnsi="Calibri" w:cs="Calibri"/>
        </w:rPr>
        <w:t>347.713</w:t>
      </w:r>
      <w:r>
        <w:rPr>
          <w:rFonts w:ascii="Calibri" w:eastAsia="Calibri" w:hAnsi="Calibri" w:cs="Calibri"/>
        </w:rPr>
        <w:t xml:space="preserve"> kun</w:t>
      </w:r>
      <w:r w:rsidR="00955263">
        <w:rPr>
          <w:rFonts w:ascii="Calibri" w:eastAsia="Calibri" w:hAnsi="Calibri" w:cs="Calibri"/>
        </w:rPr>
        <w:t>a</w:t>
      </w:r>
      <w:r>
        <w:rPr>
          <w:rFonts w:ascii="Calibri" w:eastAsia="Calibri" w:hAnsi="Calibri" w:cs="Calibri"/>
        </w:rPr>
        <w:t xml:space="preserve"> i Obveze za nabavu nefinancijske imovine u iznosu </w:t>
      </w:r>
      <w:r w:rsidR="00D2039A">
        <w:rPr>
          <w:rFonts w:ascii="Calibri" w:eastAsia="Calibri" w:hAnsi="Calibri" w:cs="Calibri"/>
        </w:rPr>
        <w:t>1.703.398</w:t>
      </w:r>
      <w:r>
        <w:rPr>
          <w:rFonts w:ascii="Calibri" w:eastAsia="Calibri" w:hAnsi="Calibri" w:cs="Calibri"/>
        </w:rPr>
        <w:t xml:space="preserve"> kun</w:t>
      </w:r>
      <w:r w:rsidR="00955263">
        <w:rPr>
          <w:rFonts w:ascii="Calibri" w:eastAsia="Calibri" w:hAnsi="Calibri" w:cs="Calibri"/>
        </w:rPr>
        <w:t>a</w:t>
      </w:r>
      <w:r>
        <w:rPr>
          <w:rFonts w:ascii="Calibri" w:eastAsia="Calibri" w:hAnsi="Calibri" w:cs="Calibri"/>
        </w:rPr>
        <w:t>.</w:t>
      </w:r>
    </w:p>
    <w:p w14:paraId="79D16ED7" w14:textId="135060B2" w:rsidR="005968CE" w:rsidRDefault="005968CE" w:rsidP="00202C81">
      <w:pPr>
        <w:spacing w:line="240" w:lineRule="auto"/>
        <w:jc w:val="both"/>
        <w:rPr>
          <w:rFonts w:ascii="Calibri" w:eastAsia="Calibri" w:hAnsi="Calibri" w:cs="Calibri"/>
          <w:b/>
        </w:rPr>
      </w:pPr>
      <w:r w:rsidRPr="00197995">
        <w:rPr>
          <w:rFonts w:ascii="Calibri" w:eastAsia="Calibri" w:hAnsi="Calibri" w:cs="Calibri"/>
          <w:b/>
        </w:rPr>
        <w:t xml:space="preserve">Bilješka broj 3 – vezana uz AOP </w:t>
      </w:r>
      <w:r w:rsidR="00124D16">
        <w:rPr>
          <w:rFonts w:ascii="Calibri" w:eastAsia="Calibri" w:hAnsi="Calibri" w:cs="Calibri"/>
          <w:b/>
        </w:rPr>
        <w:t>019</w:t>
      </w:r>
      <w:r w:rsidR="0077282D">
        <w:rPr>
          <w:rFonts w:ascii="Calibri" w:eastAsia="Calibri" w:hAnsi="Calibri" w:cs="Calibri"/>
          <w:b/>
        </w:rPr>
        <w:t xml:space="preserve"> do AOP 035</w:t>
      </w:r>
    </w:p>
    <w:p w14:paraId="729633C6" w14:textId="5084008E" w:rsidR="00124D16" w:rsidRDefault="00124D16" w:rsidP="00202C81">
      <w:pPr>
        <w:spacing w:line="240" w:lineRule="auto"/>
        <w:jc w:val="both"/>
        <w:rPr>
          <w:rFonts w:ascii="Calibri" w:eastAsia="Calibri" w:hAnsi="Calibri" w:cs="Calibri"/>
        </w:rPr>
      </w:pPr>
      <w:r>
        <w:rPr>
          <w:rFonts w:ascii="Calibri" w:eastAsia="Calibri" w:hAnsi="Calibri" w:cs="Calibri"/>
        </w:rPr>
        <w:t xml:space="preserve">Podmirene obveze u izvještajnom razdoblju iznosile su </w:t>
      </w:r>
      <w:r w:rsidR="00D2039A">
        <w:rPr>
          <w:rFonts w:ascii="Calibri" w:eastAsia="Calibri" w:hAnsi="Calibri" w:cs="Calibri"/>
        </w:rPr>
        <w:t>7.054.076</w:t>
      </w:r>
      <w:r>
        <w:rPr>
          <w:rFonts w:ascii="Calibri" w:eastAsia="Calibri" w:hAnsi="Calibri" w:cs="Calibri"/>
        </w:rPr>
        <w:t xml:space="preserve"> kun</w:t>
      </w:r>
      <w:r w:rsidR="0077282D">
        <w:rPr>
          <w:rFonts w:ascii="Calibri" w:eastAsia="Calibri" w:hAnsi="Calibri" w:cs="Calibri"/>
        </w:rPr>
        <w:t>a</w:t>
      </w:r>
      <w:r>
        <w:rPr>
          <w:rFonts w:ascii="Calibri" w:eastAsia="Calibri" w:hAnsi="Calibri" w:cs="Calibri"/>
        </w:rPr>
        <w:t xml:space="preserve">, a odnosile su se na Obveze za zaposlene u iznosu </w:t>
      </w:r>
      <w:r w:rsidR="00D2039A">
        <w:rPr>
          <w:rFonts w:ascii="Calibri" w:eastAsia="Calibri" w:hAnsi="Calibri" w:cs="Calibri"/>
        </w:rPr>
        <w:t>4.483.689</w:t>
      </w:r>
      <w:r>
        <w:rPr>
          <w:rFonts w:ascii="Calibri" w:eastAsia="Calibri" w:hAnsi="Calibri" w:cs="Calibri"/>
        </w:rPr>
        <w:t xml:space="preserve"> kun</w:t>
      </w:r>
      <w:r w:rsidR="00D2039A">
        <w:rPr>
          <w:rFonts w:ascii="Calibri" w:eastAsia="Calibri" w:hAnsi="Calibri" w:cs="Calibri"/>
        </w:rPr>
        <w:t>a</w:t>
      </w:r>
      <w:r>
        <w:rPr>
          <w:rFonts w:ascii="Calibri" w:eastAsia="Calibri" w:hAnsi="Calibri" w:cs="Calibri"/>
        </w:rPr>
        <w:t xml:space="preserve">, Obveze za materijalne rashode u iznosu </w:t>
      </w:r>
      <w:r w:rsidR="00D2039A">
        <w:rPr>
          <w:rFonts w:ascii="Calibri" w:eastAsia="Calibri" w:hAnsi="Calibri" w:cs="Calibri"/>
        </w:rPr>
        <w:t>813.576</w:t>
      </w:r>
      <w:r>
        <w:rPr>
          <w:rFonts w:ascii="Calibri" w:eastAsia="Calibri" w:hAnsi="Calibri" w:cs="Calibri"/>
        </w:rPr>
        <w:t xml:space="preserve"> kuna, </w:t>
      </w:r>
      <w:r w:rsidR="00D2039A">
        <w:rPr>
          <w:rFonts w:ascii="Calibri" w:eastAsia="Calibri" w:hAnsi="Calibri" w:cs="Calibri"/>
        </w:rPr>
        <w:t xml:space="preserve">Obveze za financijske rashode u iznosu od 5.596 kuna, </w:t>
      </w:r>
      <w:r>
        <w:rPr>
          <w:rFonts w:ascii="Calibri" w:eastAsia="Calibri" w:hAnsi="Calibri" w:cs="Calibri"/>
        </w:rPr>
        <w:t xml:space="preserve">Ostale tekuće obveze u iznosu </w:t>
      </w:r>
      <w:r w:rsidR="00D2039A">
        <w:rPr>
          <w:rFonts w:ascii="Calibri" w:eastAsia="Calibri" w:hAnsi="Calibri" w:cs="Calibri"/>
        </w:rPr>
        <w:t>44.986</w:t>
      </w:r>
      <w:r>
        <w:rPr>
          <w:rFonts w:ascii="Calibri" w:eastAsia="Calibri" w:hAnsi="Calibri" w:cs="Calibri"/>
        </w:rPr>
        <w:t xml:space="preserve"> kun</w:t>
      </w:r>
      <w:r w:rsidR="0077282D">
        <w:rPr>
          <w:rFonts w:ascii="Calibri" w:eastAsia="Calibri" w:hAnsi="Calibri" w:cs="Calibri"/>
        </w:rPr>
        <w:t>a</w:t>
      </w:r>
      <w:r>
        <w:rPr>
          <w:rFonts w:ascii="Calibri" w:eastAsia="Calibri" w:hAnsi="Calibri" w:cs="Calibri"/>
        </w:rPr>
        <w:t xml:space="preserve"> i Obveze za nabavu nefinancijske imovine u iznosu</w:t>
      </w:r>
      <w:r w:rsidR="00D2039A">
        <w:rPr>
          <w:rFonts w:ascii="Calibri" w:eastAsia="Calibri" w:hAnsi="Calibri" w:cs="Calibri"/>
        </w:rPr>
        <w:t xml:space="preserve"> 1.706.229 </w:t>
      </w:r>
      <w:r>
        <w:rPr>
          <w:rFonts w:ascii="Calibri" w:eastAsia="Calibri" w:hAnsi="Calibri" w:cs="Calibri"/>
        </w:rPr>
        <w:t>kun</w:t>
      </w:r>
      <w:r w:rsidR="00D2039A">
        <w:rPr>
          <w:rFonts w:ascii="Calibri" w:eastAsia="Calibri" w:hAnsi="Calibri" w:cs="Calibri"/>
        </w:rPr>
        <w:t>a</w:t>
      </w:r>
      <w:r>
        <w:rPr>
          <w:rFonts w:ascii="Calibri" w:eastAsia="Calibri" w:hAnsi="Calibri" w:cs="Calibri"/>
        </w:rPr>
        <w:t>.</w:t>
      </w:r>
    </w:p>
    <w:p w14:paraId="73163A73" w14:textId="36CD3913" w:rsidR="00D2039A" w:rsidRDefault="00D2039A" w:rsidP="00202C81">
      <w:pPr>
        <w:spacing w:line="240" w:lineRule="auto"/>
        <w:jc w:val="both"/>
        <w:rPr>
          <w:rFonts w:ascii="Calibri" w:eastAsia="Calibri" w:hAnsi="Calibri" w:cs="Calibri"/>
        </w:rPr>
      </w:pPr>
    </w:p>
    <w:p w14:paraId="7A136BEF" w14:textId="77777777" w:rsidR="00D2039A" w:rsidRPr="00124D16" w:rsidRDefault="00D2039A" w:rsidP="00202C81">
      <w:pPr>
        <w:spacing w:line="240" w:lineRule="auto"/>
        <w:jc w:val="both"/>
        <w:rPr>
          <w:rFonts w:ascii="Calibri" w:eastAsia="Calibri" w:hAnsi="Calibri" w:cs="Calibri"/>
        </w:rPr>
      </w:pPr>
    </w:p>
    <w:p w14:paraId="074D34EF" w14:textId="77777777" w:rsidR="00197995" w:rsidRDefault="00197995" w:rsidP="00202C81">
      <w:pPr>
        <w:spacing w:line="240" w:lineRule="auto"/>
        <w:jc w:val="both"/>
        <w:rPr>
          <w:rFonts w:ascii="Calibri" w:eastAsia="Calibri" w:hAnsi="Calibri" w:cs="Calibri"/>
          <w:b/>
        </w:rPr>
      </w:pPr>
      <w:r w:rsidRPr="00197995">
        <w:rPr>
          <w:rFonts w:ascii="Calibri" w:eastAsia="Calibri" w:hAnsi="Calibri" w:cs="Calibri"/>
          <w:b/>
        </w:rPr>
        <w:t>Bil</w:t>
      </w:r>
      <w:r w:rsidR="00124D16">
        <w:rPr>
          <w:rFonts w:ascii="Calibri" w:eastAsia="Calibri" w:hAnsi="Calibri" w:cs="Calibri"/>
          <w:b/>
        </w:rPr>
        <w:t>ješka broj 4 – vezana uz AOP 036</w:t>
      </w:r>
    </w:p>
    <w:p w14:paraId="37F46DFF" w14:textId="098A3CAD" w:rsidR="00124D16" w:rsidRDefault="00124D16" w:rsidP="00202C81">
      <w:pPr>
        <w:spacing w:line="240" w:lineRule="auto"/>
        <w:jc w:val="both"/>
        <w:rPr>
          <w:rFonts w:ascii="Calibri" w:eastAsia="Calibri" w:hAnsi="Calibri" w:cs="Calibri"/>
        </w:rPr>
      </w:pPr>
      <w:r>
        <w:rPr>
          <w:rFonts w:ascii="Calibri" w:eastAsia="Calibri" w:hAnsi="Calibri" w:cs="Calibri"/>
        </w:rPr>
        <w:t>Stanje obveza na kraju izvještajnog razdoblja, odnosno na dan 31.12.20</w:t>
      </w:r>
      <w:r w:rsidR="00045ECE">
        <w:rPr>
          <w:rFonts w:ascii="Calibri" w:eastAsia="Calibri" w:hAnsi="Calibri" w:cs="Calibri"/>
        </w:rPr>
        <w:t>2</w:t>
      </w:r>
      <w:r w:rsidR="00D2039A">
        <w:rPr>
          <w:rFonts w:ascii="Calibri" w:eastAsia="Calibri" w:hAnsi="Calibri" w:cs="Calibri"/>
        </w:rPr>
        <w:t>1</w:t>
      </w:r>
      <w:r>
        <w:rPr>
          <w:rFonts w:ascii="Calibri" w:eastAsia="Calibri" w:hAnsi="Calibri" w:cs="Calibri"/>
        </w:rPr>
        <w:t>. godine iznosi</w:t>
      </w:r>
      <w:r w:rsidR="00D2039A">
        <w:rPr>
          <w:rFonts w:ascii="Calibri" w:eastAsia="Calibri" w:hAnsi="Calibri" w:cs="Calibri"/>
        </w:rPr>
        <w:t xml:space="preserve"> 697.894</w:t>
      </w:r>
      <w:r>
        <w:rPr>
          <w:rFonts w:ascii="Calibri" w:eastAsia="Calibri" w:hAnsi="Calibri" w:cs="Calibri"/>
        </w:rPr>
        <w:t xml:space="preserve"> kun</w:t>
      </w:r>
      <w:r w:rsidR="00D2039A">
        <w:rPr>
          <w:rFonts w:ascii="Calibri" w:eastAsia="Calibri" w:hAnsi="Calibri" w:cs="Calibri"/>
        </w:rPr>
        <w:t>e</w:t>
      </w:r>
      <w:r>
        <w:rPr>
          <w:rFonts w:ascii="Calibri" w:eastAsia="Calibri" w:hAnsi="Calibri" w:cs="Calibri"/>
        </w:rPr>
        <w:t xml:space="preserve">. </w:t>
      </w:r>
      <w:r w:rsidR="00236129">
        <w:rPr>
          <w:rFonts w:ascii="Calibri" w:eastAsia="Calibri" w:hAnsi="Calibri" w:cs="Calibri"/>
        </w:rPr>
        <w:t xml:space="preserve">Od toga se </w:t>
      </w:r>
      <w:r w:rsidR="00CA7F7A">
        <w:rPr>
          <w:rFonts w:ascii="Calibri" w:eastAsia="Calibri" w:hAnsi="Calibri" w:cs="Calibri"/>
        </w:rPr>
        <w:t>3.362</w:t>
      </w:r>
      <w:r w:rsidR="00236129">
        <w:rPr>
          <w:rFonts w:ascii="Calibri" w:eastAsia="Calibri" w:hAnsi="Calibri" w:cs="Calibri"/>
        </w:rPr>
        <w:t xml:space="preserve"> kun</w:t>
      </w:r>
      <w:r w:rsidR="00CA7F7A">
        <w:rPr>
          <w:rFonts w:ascii="Calibri" w:eastAsia="Calibri" w:hAnsi="Calibri" w:cs="Calibri"/>
        </w:rPr>
        <w:t>e</w:t>
      </w:r>
      <w:r w:rsidR="00236129">
        <w:rPr>
          <w:rFonts w:ascii="Calibri" w:eastAsia="Calibri" w:hAnsi="Calibri" w:cs="Calibri"/>
        </w:rPr>
        <w:t xml:space="preserve"> odnosi na dospjele obveze na kraju izvještajnog razdoblja i </w:t>
      </w:r>
      <w:r w:rsidR="00CA7F7A">
        <w:rPr>
          <w:rFonts w:ascii="Calibri" w:eastAsia="Calibri" w:hAnsi="Calibri" w:cs="Calibri"/>
        </w:rPr>
        <w:t xml:space="preserve">694.732 </w:t>
      </w:r>
      <w:r w:rsidR="00236129">
        <w:rPr>
          <w:rFonts w:ascii="Calibri" w:eastAsia="Calibri" w:hAnsi="Calibri" w:cs="Calibri"/>
        </w:rPr>
        <w:t>kun</w:t>
      </w:r>
      <w:r w:rsidR="00CA7F7A">
        <w:rPr>
          <w:rFonts w:ascii="Calibri" w:eastAsia="Calibri" w:hAnsi="Calibri" w:cs="Calibri"/>
        </w:rPr>
        <w:t>e</w:t>
      </w:r>
      <w:r w:rsidR="00236129">
        <w:rPr>
          <w:rFonts w:ascii="Calibri" w:eastAsia="Calibri" w:hAnsi="Calibri" w:cs="Calibri"/>
        </w:rPr>
        <w:t xml:space="preserve"> na nedospjele obveze na kraju izvještajnog razdoblja.</w:t>
      </w:r>
    </w:p>
    <w:p w14:paraId="507C6BE1" w14:textId="7CE4C6E4" w:rsidR="006767BE" w:rsidRPr="006767BE" w:rsidRDefault="006767BE" w:rsidP="00202C81">
      <w:pPr>
        <w:spacing w:line="240" w:lineRule="auto"/>
        <w:jc w:val="both"/>
        <w:rPr>
          <w:rFonts w:ascii="Calibri" w:eastAsia="Calibri" w:hAnsi="Calibri" w:cs="Calibri"/>
          <w:b/>
          <w:bCs/>
        </w:rPr>
      </w:pPr>
      <w:r>
        <w:rPr>
          <w:rFonts w:ascii="Calibri" w:eastAsia="Calibri" w:hAnsi="Calibri" w:cs="Calibri"/>
          <w:b/>
          <w:bCs/>
        </w:rPr>
        <w:t>Bilješka broj 5 – vezana uz AOP 090</w:t>
      </w:r>
    </w:p>
    <w:p w14:paraId="16EAED42" w14:textId="2367FDFA" w:rsidR="006A13B0" w:rsidRDefault="006D6383" w:rsidP="00202C81">
      <w:pPr>
        <w:spacing w:line="240" w:lineRule="auto"/>
        <w:jc w:val="both"/>
        <w:rPr>
          <w:rFonts w:ascii="Calibri" w:eastAsia="Calibri" w:hAnsi="Calibri" w:cs="Calibri"/>
        </w:rPr>
      </w:pPr>
      <w:r>
        <w:rPr>
          <w:rFonts w:ascii="Calibri" w:eastAsia="Calibri" w:hAnsi="Calibri" w:cs="Calibri"/>
        </w:rPr>
        <w:t xml:space="preserve">Stanje nedospjelih obveza na kraju izvještajnog razdoblja iznosi </w:t>
      </w:r>
      <w:r w:rsidR="00CA7F7A">
        <w:rPr>
          <w:rFonts w:ascii="Calibri" w:eastAsia="Calibri" w:hAnsi="Calibri" w:cs="Calibri"/>
        </w:rPr>
        <w:t>694.732</w:t>
      </w:r>
      <w:r>
        <w:rPr>
          <w:rFonts w:ascii="Calibri" w:eastAsia="Calibri" w:hAnsi="Calibri" w:cs="Calibri"/>
        </w:rPr>
        <w:t xml:space="preserve"> kun</w:t>
      </w:r>
      <w:r w:rsidR="00CA7F7A">
        <w:rPr>
          <w:rFonts w:ascii="Calibri" w:eastAsia="Calibri" w:hAnsi="Calibri" w:cs="Calibri"/>
        </w:rPr>
        <w:t>e</w:t>
      </w:r>
      <w:r>
        <w:rPr>
          <w:rFonts w:ascii="Calibri" w:eastAsia="Calibri" w:hAnsi="Calibri" w:cs="Calibri"/>
        </w:rPr>
        <w:t xml:space="preserve"> i odnosi se na</w:t>
      </w:r>
      <w:r w:rsidR="00CA7F7A">
        <w:rPr>
          <w:rFonts w:ascii="Calibri" w:eastAsia="Calibri" w:hAnsi="Calibri" w:cs="Calibri"/>
        </w:rPr>
        <w:t xml:space="preserve"> Međusobne obveze proračunskih korisnika u iznosu od 306.353 kune (obveze proračunskih korisnika za povrat u proračun),</w:t>
      </w:r>
      <w:r>
        <w:rPr>
          <w:rFonts w:ascii="Calibri" w:eastAsia="Calibri" w:hAnsi="Calibri" w:cs="Calibri"/>
        </w:rPr>
        <w:t xml:space="preserve"> Obveze za rashode poslovanja u iznosu 386.</w:t>
      </w:r>
      <w:r w:rsidR="00CA7F7A">
        <w:rPr>
          <w:rFonts w:ascii="Calibri" w:eastAsia="Calibri" w:hAnsi="Calibri" w:cs="Calibri"/>
        </w:rPr>
        <w:t>773</w:t>
      </w:r>
      <w:r>
        <w:rPr>
          <w:rFonts w:ascii="Calibri" w:eastAsia="Calibri" w:hAnsi="Calibri" w:cs="Calibri"/>
        </w:rPr>
        <w:t xml:space="preserve"> kun</w:t>
      </w:r>
      <w:r w:rsidR="00CA7F7A">
        <w:rPr>
          <w:rFonts w:ascii="Calibri" w:eastAsia="Calibri" w:hAnsi="Calibri" w:cs="Calibri"/>
        </w:rPr>
        <w:t>e</w:t>
      </w:r>
      <w:r>
        <w:rPr>
          <w:rFonts w:ascii="Calibri" w:eastAsia="Calibri" w:hAnsi="Calibri" w:cs="Calibri"/>
        </w:rPr>
        <w:t xml:space="preserve"> i </w:t>
      </w:r>
      <w:r w:rsidR="00ED08B3">
        <w:rPr>
          <w:rFonts w:ascii="Calibri" w:eastAsia="Calibri" w:hAnsi="Calibri" w:cs="Calibri"/>
        </w:rPr>
        <w:t xml:space="preserve">Obveze za nabavu nefinancijske imovine u iznosu </w:t>
      </w:r>
      <w:r w:rsidR="00CA7F7A">
        <w:rPr>
          <w:rFonts w:ascii="Calibri" w:eastAsia="Calibri" w:hAnsi="Calibri" w:cs="Calibri"/>
        </w:rPr>
        <w:t>1.406</w:t>
      </w:r>
      <w:r w:rsidR="00ED08B3">
        <w:rPr>
          <w:rFonts w:ascii="Calibri" w:eastAsia="Calibri" w:hAnsi="Calibri" w:cs="Calibri"/>
        </w:rPr>
        <w:t xml:space="preserve"> kuna.</w:t>
      </w:r>
    </w:p>
    <w:p w14:paraId="3B3EB318" w14:textId="70B886D9" w:rsidR="00ED08B3" w:rsidRDefault="00ED08B3" w:rsidP="00202C81">
      <w:pPr>
        <w:spacing w:line="240" w:lineRule="auto"/>
        <w:jc w:val="both"/>
        <w:rPr>
          <w:rFonts w:ascii="Calibri" w:eastAsia="Calibri" w:hAnsi="Calibri" w:cs="Calibri"/>
        </w:rPr>
      </w:pPr>
      <w:r>
        <w:rPr>
          <w:rFonts w:ascii="Calibri" w:eastAsia="Calibri" w:hAnsi="Calibri" w:cs="Calibri"/>
        </w:rPr>
        <w:t>Nedospjele obveze za rashode poslovanja najvećim se dijelom odnose na obveze za plaću za prosinac 202</w:t>
      </w:r>
      <w:r w:rsidR="00CA7F7A">
        <w:rPr>
          <w:rFonts w:ascii="Calibri" w:eastAsia="Calibri" w:hAnsi="Calibri" w:cs="Calibri"/>
        </w:rPr>
        <w:t>1</w:t>
      </w:r>
      <w:r>
        <w:rPr>
          <w:rFonts w:ascii="Calibri" w:eastAsia="Calibri" w:hAnsi="Calibri" w:cs="Calibri"/>
        </w:rPr>
        <w:t>. godine s valutom u siječnju 202</w:t>
      </w:r>
      <w:r w:rsidR="00CA7F7A">
        <w:rPr>
          <w:rFonts w:ascii="Calibri" w:eastAsia="Calibri" w:hAnsi="Calibri" w:cs="Calibri"/>
        </w:rPr>
        <w:t>2</w:t>
      </w:r>
      <w:r>
        <w:rPr>
          <w:rFonts w:ascii="Calibri" w:eastAsia="Calibri" w:hAnsi="Calibri" w:cs="Calibri"/>
        </w:rPr>
        <w:t xml:space="preserve">. godine u iznosu </w:t>
      </w:r>
      <w:r w:rsidR="00CA7F7A">
        <w:rPr>
          <w:rFonts w:ascii="Calibri" w:eastAsia="Calibri" w:hAnsi="Calibri" w:cs="Calibri"/>
        </w:rPr>
        <w:t>339.281,80</w:t>
      </w:r>
      <w:r>
        <w:rPr>
          <w:rFonts w:ascii="Calibri" w:eastAsia="Calibri" w:hAnsi="Calibri" w:cs="Calibri"/>
        </w:rPr>
        <w:t xml:space="preserve"> kuna, te obveze po računima s rokom dospijeća u 202</w:t>
      </w:r>
      <w:r w:rsidR="00CA7F7A">
        <w:rPr>
          <w:rFonts w:ascii="Calibri" w:eastAsia="Calibri" w:hAnsi="Calibri" w:cs="Calibri"/>
        </w:rPr>
        <w:t>2</w:t>
      </w:r>
      <w:r>
        <w:rPr>
          <w:rFonts w:ascii="Calibri" w:eastAsia="Calibri" w:hAnsi="Calibri" w:cs="Calibri"/>
        </w:rPr>
        <w:t xml:space="preserve">. godini u iznosu </w:t>
      </w:r>
      <w:r w:rsidR="001E59B9">
        <w:rPr>
          <w:rFonts w:ascii="Calibri" w:eastAsia="Calibri" w:hAnsi="Calibri" w:cs="Calibri"/>
        </w:rPr>
        <w:t>46.934,80</w:t>
      </w:r>
      <w:r>
        <w:rPr>
          <w:rFonts w:ascii="Calibri" w:eastAsia="Calibri" w:hAnsi="Calibri" w:cs="Calibri"/>
        </w:rPr>
        <w:t xml:space="preserve"> kuna. </w:t>
      </w:r>
    </w:p>
    <w:p w14:paraId="4D9CB360" w14:textId="77777777" w:rsidR="006A13B0" w:rsidRDefault="006A13B0" w:rsidP="00202C81">
      <w:pPr>
        <w:spacing w:line="240" w:lineRule="auto"/>
        <w:jc w:val="both"/>
        <w:rPr>
          <w:rFonts w:ascii="Calibri" w:eastAsia="Calibri" w:hAnsi="Calibri" w:cs="Calibri"/>
        </w:rPr>
      </w:pPr>
    </w:p>
    <w:p w14:paraId="0F9A3EC6" w14:textId="77777777" w:rsidR="006A13B0" w:rsidRDefault="006A13B0" w:rsidP="00202C81">
      <w:pPr>
        <w:spacing w:line="240" w:lineRule="auto"/>
        <w:jc w:val="both"/>
        <w:rPr>
          <w:rFonts w:ascii="Calibri" w:eastAsia="Calibri" w:hAnsi="Calibri" w:cs="Calibri"/>
        </w:rPr>
      </w:pPr>
      <w:r>
        <w:rPr>
          <w:rFonts w:ascii="Calibri" w:eastAsia="Calibri" w:hAnsi="Calibri" w:cs="Calibri"/>
        </w:rPr>
        <w:t>Mjesto: Virovitica</w:t>
      </w:r>
    </w:p>
    <w:p w14:paraId="2B66DDB0" w14:textId="232831B6" w:rsidR="006A13B0" w:rsidRDefault="0004287D" w:rsidP="00202C81">
      <w:pPr>
        <w:spacing w:line="240" w:lineRule="auto"/>
        <w:jc w:val="both"/>
        <w:rPr>
          <w:rFonts w:ascii="Calibri" w:eastAsia="Calibri" w:hAnsi="Calibri" w:cs="Calibri"/>
        </w:rPr>
      </w:pPr>
      <w:r>
        <w:rPr>
          <w:rFonts w:ascii="Calibri" w:eastAsia="Calibri" w:hAnsi="Calibri" w:cs="Calibri"/>
        </w:rPr>
        <w:t xml:space="preserve">Datum: </w:t>
      </w:r>
      <w:r w:rsidR="00081081">
        <w:rPr>
          <w:rFonts w:ascii="Calibri" w:eastAsia="Calibri" w:hAnsi="Calibri" w:cs="Calibri"/>
        </w:rPr>
        <w:t>31</w:t>
      </w:r>
      <w:r w:rsidR="006A13B0">
        <w:rPr>
          <w:rFonts w:ascii="Calibri" w:eastAsia="Calibri" w:hAnsi="Calibri" w:cs="Calibri"/>
        </w:rPr>
        <w:t xml:space="preserve">. </w:t>
      </w:r>
      <w:r>
        <w:rPr>
          <w:rFonts w:ascii="Calibri" w:eastAsia="Calibri" w:hAnsi="Calibri" w:cs="Calibri"/>
        </w:rPr>
        <w:t>siječnja</w:t>
      </w:r>
      <w:r w:rsidR="004C58C4">
        <w:rPr>
          <w:rFonts w:ascii="Calibri" w:eastAsia="Calibri" w:hAnsi="Calibri" w:cs="Calibri"/>
        </w:rPr>
        <w:t xml:space="preserve"> 202</w:t>
      </w:r>
      <w:r w:rsidR="00081081">
        <w:rPr>
          <w:rFonts w:ascii="Calibri" w:eastAsia="Calibri" w:hAnsi="Calibri" w:cs="Calibri"/>
        </w:rPr>
        <w:t>2</w:t>
      </w:r>
      <w:r w:rsidR="006A13B0">
        <w:rPr>
          <w:rFonts w:ascii="Calibri" w:eastAsia="Calibri" w:hAnsi="Calibri" w:cs="Calibri"/>
        </w:rPr>
        <w:t>. godine</w:t>
      </w:r>
    </w:p>
    <w:p w14:paraId="245385C7" w14:textId="1FC5784E" w:rsidR="006A13B0" w:rsidRDefault="006A13B0" w:rsidP="00202C81">
      <w:pPr>
        <w:spacing w:line="240" w:lineRule="auto"/>
        <w:jc w:val="both"/>
        <w:rPr>
          <w:rFonts w:ascii="Calibri" w:eastAsia="Calibri" w:hAnsi="Calibri" w:cs="Calibri"/>
        </w:rPr>
      </w:pPr>
      <w:r>
        <w:rPr>
          <w:rFonts w:ascii="Calibri" w:eastAsia="Calibri" w:hAnsi="Calibri" w:cs="Calibri"/>
        </w:rPr>
        <w:t xml:space="preserve">Osoba za kontaktiranje: </w:t>
      </w:r>
      <w:r w:rsidR="002973EE">
        <w:rPr>
          <w:rFonts w:ascii="Calibri" w:eastAsia="Calibri" w:hAnsi="Calibri" w:cs="Calibri"/>
        </w:rPr>
        <w:t>Monika Jurenac</w:t>
      </w:r>
      <w:r>
        <w:rPr>
          <w:rFonts w:ascii="Calibri" w:eastAsia="Calibri" w:hAnsi="Calibri" w:cs="Calibri"/>
        </w:rPr>
        <w:t>, mag.oec.</w:t>
      </w:r>
    </w:p>
    <w:p w14:paraId="333FD8CB" w14:textId="77777777" w:rsidR="006A13B0" w:rsidRDefault="006A13B0" w:rsidP="00202C81">
      <w:pPr>
        <w:spacing w:line="240" w:lineRule="auto"/>
        <w:jc w:val="both"/>
        <w:rPr>
          <w:rFonts w:ascii="Calibri" w:eastAsia="Calibri" w:hAnsi="Calibri" w:cs="Calibri"/>
        </w:rPr>
      </w:pPr>
      <w:r>
        <w:rPr>
          <w:rFonts w:ascii="Calibri" w:eastAsia="Calibri" w:hAnsi="Calibri" w:cs="Calibri"/>
        </w:rPr>
        <w:t>Telefon: 033/722-071</w:t>
      </w:r>
    </w:p>
    <w:p w14:paraId="336CB1BF" w14:textId="77777777" w:rsidR="006A13B0" w:rsidRDefault="006A13B0" w:rsidP="00202C81">
      <w:pPr>
        <w:spacing w:line="240" w:lineRule="auto"/>
        <w:jc w:val="both"/>
        <w:rPr>
          <w:rFonts w:ascii="Calibri" w:eastAsia="Calibri" w:hAnsi="Calibri" w:cs="Calibri"/>
        </w:rPr>
      </w:pPr>
      <w:r>
        <w:rPr>
          <w:rFonts w:ascii="Calibri" w:eastAsia="Calibri" w:hAnsi="Calibri" w:cs="Calibri"/>
        </w:rPr>
        <w:t>Zakonski predstavnik: Emina Kovač, mag.oec.</w:t>
      </w:r>
    </w:p>
    <w:p w14:paraId="6BEBC998" w14:textId="77777777" w:rsidR="006A13B0" w:rsidRDefault="006A13B0" w:rsidP="00202C81">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Zakonski predstavnik</w:t>
      </w:r>
    </w:p>
    <w:p w14:paraId="4FA1CAEC" w14:textId="77777777" w:rsidR="00EA7596" w:rsidRPr="00E04EDB" w:rsidRDefault="006A13B0" w:rsidP="00E04EDB">
      <w:pPr>
        <w:spacing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(potpis)</w:t>
      </w:r>
    </w:p>
    <w:sectPr w:rsidR="00EA7596" w:rsidRPr="00E04EDB" w:rsidSect="00692496">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83F4" w14:textId="77777777" w:rsidR="006A1279" w:rsidRDefault="006A1279" w:rsidP="005D4672">
      <w:pPr>
        <w:spacing w:after="0" w:line="240" w:lineRule="auto"/>
      </w:pPr>
      <w:r>
        <w:separator/>
      </w:r>
    </w:p>
  </w:endnote>
  <w:endnote w:type="continuationSeparator" w:id="0">
    <w:p w14:paraId="125431B4" w14:textId="77777777" w:rsidR="006A1279" w:rsidRDefault="006A1279" w:rsidP="005D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19E" w14:textId="77777777" w:rsidR="000622B0" w:rsidRPr="00692496" w:rsidRDefault="000622B0" w:rsidP="000622B0">
    <w:pPr>
      <w:pStyle w:val="Podnoje"/>
      <w:jc w:val="center"/>
      <w:rPr>
        <w:b/>
        <w:sz w:val="16"/>
        <w:szCs w:val="16"/>
      </w:rPr>
    </w:pPr>
    <w:r w:rsidRPr="00692496">
      <w:rPr>
        <w:b/>
        <w:sz w:val="16"/>
        <w:szCs w:val="16"/>
      </w:rPr>
      <w:t>VIDRA-Agencija za regionalni razvoj Virovitičko-podravske županije / Augusta Šenoe 1 / 33000 Virovitica, Hrvatska / Croatia</w:t>
    </w:r>
  </w:p>
  <w:p w14:paraId="15CB27FB" w14:textId="77777777" w:rsidR="000622B0" w:rsidRDefault="000622B0" w:rsidP="000622B0">
    <w:pPr>
      <w:pStyle w:val="Podnoje"/>
      <w:jc w:val="center"/>
      <w:rPr>
        <w:sz w:val="16"/>
        <w:szCs w:val="16"/>
      </w:rPr>
    </w:pPr>
    <w:r w:rsidRPr="00692496">
      <w:rPr>
        <w:b/>
        <w:sz w:val="16"/>
        <w:szCs w:val="16"/>
      </w:rPr>
      <w:t>T</w:t>
    </w:r>
    <w:r w:rsidRPr="00692496">
      <w:rPr>
        <w:sz w:val="16"/>
        <w:szCs w:val="16"/>
      </w:rPr>
      <w:t xml:space="preserve"> +385 33 </w:t>
    </w:r>
    <w:r>
      <w:rPr>
        <w:sz w:val="16"/>
        <w:szCs w:val="16"/>
      </w:rPr>
      <w:t xml:space="preserve">725 219 (centrala); </w:t>
    </w:r>
    <w:r w:rsidRPr="00692496">
      <w:rPr>
        <w:sz w:val="16"/>
        <w:szCs w:val="16"/>
      </w:rPr>
      <w:t xml:space="preserve">+385 33 </w:t>
    </w:r>
    <w:r>
      <w:rPr>
        <w:sz w:val="16"/>
        <w:szCs w:val="16"/>
      </w:rPr>
      <w:t xml:space="preserve">722 043 (strateško planiranje); </w:t>
    </w:r>
    <w:r w:rsidRPr="00692496">
      <w:rPr>
        <w:sz w:val="16"/>
        <w:szCs w:val="16"/>
      </w:rPr>
      <w:t>+385 33 800 207</w:t>
    </w:r>
    <w:r>
      <w:rPr>
        <w:sz w:val="16"/>
        <w:szCs w:val="16"/>
      </w:rPr>
      <w:t xml:space="preserve">; </w:t>
    </w:r>
    <w:r w:rsidRPr="00692496">
      <w:rPr>
        <w:sz w:val="16"/>
        <w:szCs w:val="16"/>
      </w:rPr>
      <w:t xml:space="preserve">+385 33 </w:t>
    </w:r>
    <w:r>
      <w:rPr>
        <w:sz w:val="16"/>
        <w:szCs w:val="16"/>
      </w:rPr>
      <w:t>638 268  (gospodarstvo)</w:t>
    </w:r>
    <w:r w:rsidRPr="00692496">
      <w:rPr>
        <w:sz w:val="16"/>
        <w:szCs w:val="16"/>
      </w:rPr>
      <w:t xml:space="preserve">; +385 33 </w:t>
    </w:r>
    <w:r>
      <w:rPr>
        <w:sz w:val="16"/>
        <w:szCs w:val="16"/>
      </w:rPr>
      <w:t xml:space="preserve">800 247;  </w:t>
    </w:r>
    <w:r w:rsidRPr="00692496">
      <w:rPr>
        <w:sz w:val="16"/>
        <w:szCs w:val="16"/>
      </w:rPr>
      <w:t xml:space="preserve">+385 33 </w:t>
    </w:r>
    <w:r>
      <w:rPr>
        <w:sz w:val="16"/>
        <w:szCs w:val="16"/>
      </w:rPr>
      <w:t xml:space="preserve">638 265; </w:t>
    </w:r>
    <w:r w:rsidRPr="00692496">
      <w:rPr>
        <w:sz w:val="16"/>
        <w:szCs w:val="16"/>
      </w:rPr>
      <w:t xml:space="preserve">+385 33 </w:t>
    </w:r>
    <w:r>
      <w:rPr>
        <w:sz w:val="16"/>
        <w:szCs w:val="16"/>
      </w:rPr>
      <w:t xml:space="preserve">638 267; </w:t>
    </w:r>
    <w:r w:rsidRPr="00692496">
      <w:rPr>
        <w:sz w:val="16"/>
        <w:szCs w:val="16"/>
      </w:rPr>
      <w:t xml:space="preserve">+385 33 </w:t>
    </w:r>
    <w:r>
      <w:rPr>
        <w:sz w:val="16"/>
        <w:szCs w:val="16"/>
      </w:rPr>
      <w:t xml:space="preserve">725 230  (priprema i provedba projekata);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14:paraId="2DC98C25" w14:textId="77777777" w:rsidR="00692496" w:rsidRPr="000622B0" w:rsidRDefault="000622B0" w:rsidP="000622B0">
    <w:pPr>
      <w:pStyle w:val="Podnoje"/>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0BE0" w14:textId="77777777" w:rsidR="00A2067D" w:rsidRPr="00692496" w:rsidRDefault="00A2067D" w:rsidP="00A2067D">
    <w:pPr>
      <w:pStyle w:val="Podnoje"/>
      <w:jc w:val="center"/>
      <w:rPr>
        <w:b/>
        <w:sz w:val="16"/>
        <w:szCs w:val="16"/>
      </w:rPr>
    </w:pPr>
    <w:r w:rsidRPr="00692496">
      <w:rPr>
        <w:b/>
        <w:sz w:val="16"/>
        <w:szCs w:val="16"/>
      </w:rPr>
      <w:t>VIDRA-Agencija za regionalni razvoj Virovitičko-podravske županije / Augusta Šenoe 1 / 33000 Virovitica, Hrvatska / Croatia</w:t>
    </w:r>
  </w:p>
  <w:p w14:paraId="099B8DBC" w14:textId="77777777" w:rsidR="000622B0" w:rsidRDefault="00A2067D" w:rsidP="00A2067D">
    <w:pPr>
      <w:pStyle w:val="Podnoje"/>
      <w:jc w:val="center"/>
      <w:rPr>
        <w:sz w:val="16"/>
        <w:szCs w:val="16"/>
      </w:rPr>
    </w:pPr>
    <w:r w:rsidRPr="00692496">
      <w:rPr>
        <w:b/>
        <w:sz w:val="16"/>
        <w:szCs w:val="16"/>
      </w:rPr>
      <w:t>T</w:t>
    </w:r>
    <w:r w:rsidRPr="00692496">
      <w:rPr>
        <w:sz w:val="16"/>
        <w:szCs w:val="16"/>
      </w:rPr>
      <w:t xml:space="preserve"> </w:t>
    </w:r>
    <w:r w:rsidR="003E4857" w:rsidRPr="00692496">
      <w:rPr>
        <w:sz w:val="16"/>
        <w:szCs w:val="16"/>
      </w:rPr>
      <w:t xml:space="preserve">+385 33 </w:t>
    </w:r>
    <w:r w:rsidR="003E4857">
      <w:rPr>
        <w:sz w:val="16"/>
        <w:szCs w:val="16"/>
      </w:rPr>
      <w:t>725 219 (</w:t>
    </w:r>
    <w:r w:rsidR="008938EA">
      <w:rPr>
        <w:sz w:val="16"/>
        <w:szCs w:val="16"/>
      </w:rPr>
      <w:t xml:space="preserve">centrala); </w:t>
    </w:r>
    <w:r w:rsidR="000622B0" w:rsidRPr="00692496">
      <w:rPr>
        <w:sz w:val="16"/>
        <w:szCs w:val="16"/>
      </w:rPr>
      <w:t xml:space="preserve">+385 33 </w:t>
    </w:r>
    <w:r w:rsidR="000622B0">
      <w:rPr>
        <w:sz w:val="16"/>
        <w:szCs w:val="16"/>
      </w:rPr>
      <w:t xml:space="preserve">722 043 (strateško planiranje); </w:t>
    </w:r>
    <w:r w:rsidRPr="00692496">
      <w:rPr>
        <w:sz w:val="16"/>
        <w:szCs w:val="16"/>
      </w:rPr>
      <w:t>+385 33 800 207</w:t>
    </w:r>
    <w:r w:rsidR="00B5470D">
      <w:rPr>
        <w:sz w:val="16"/>
        <w:szCs w:val="16"/>
      </w:rPr>
      <w:t xml:space="preserve">; </w:t>
    </w:r>
    <w:r w:rsidR="00B5470D" w:rsidRPr="00692496">
      <w:rPr>
        <w:sz w:val="16"/>
        <w:szCs w:val="16"/>
      </w:rPr>
      <w:t xml:space="preserve">+385 33 </w:t>
    </w:r>
    <w:r w:rsidR="00B5470D">
      <w:rPr>
        <w:sz w:val="16"/>
        <w:szCs w:val="16"/>
      </w:rPr>
      <w:t xml:space="preserve">638 268 </w:t>
    </w:r>
    <w:r>
      <w:rPr>
        <w:sz w:val="16"/>
        <w:szCs w:val="16"/>
      </w:rPr>
      <w:t xml:space="preserve"> (gospodarstvo)</w:t>
    </w:r>
    <w:r w:rsidRPr="00692496">
      <w:rPr>
        <w:sz w:val="16"/>
        <w:szCs w:val="16"/>
      </w:rPr>
      <w:t xml:space="preserve">; +385 33 </w:t>
    </w:r>
    <w:r w:rsidR="008938EA">
      <w:rPr>
        <w:sz w:val="16"/>
        <w:szCs w:val="16"/>
      </w:rPr>
      <w:t>800 247</w:t>
    </w:r>
    <w:r w:rsidR="00B5470D">
      <w:rPr>
        <w:sz w:val="16"/>
        <w:szCs w:val="16"/>
      </w:rPr>
      <w:t xml:space="preserve">; </w:t>
    </w:r>
    <w:r w:rsidR="008938EA">
      <w:rPr>
        <w:sz w:val="16"/>
        <w:szCs w:val="16"/>
      </w:rPr>
      <w:t xml:space="preserve"> </w:t>
    </w:r>
    <w:r w:rsidR="00B5470D" w:rsidRPr="00692496">
      <w:rPr>
        <w:sz w:val="16"/>
        <w:szCs w:val="16"/>
      </w:rPr>
      <w:t xml:space="preserve">+385 33 </w:t>
    </w:r>
    <w:r w:rsidR="00B2682B">
      <w:rPr>
        <w:sz w:val="16"/>
        <w:szCs w:val="16"/>
      </w:rPr>
      <w:t>638 265;</w:t>
    </w:r>
    <w:r w:rsidR="00B5470D">
      <w:rPr>
        <w:sz w:val="16"/>
        <w:szCs w:val="16"/>
      </w:rPr>
      <w:t xml:space="preserve"> </w:t>
    </w:r>
    <w:r w:rsidR="00B2682B" w:rsidRPr="00692496">
      <w:rPr>
        <w:sz w:val="16"/>
        <w:szCs w:val="16"/>
      </w:rPr>
      <w:t xml:space="preserve">+385 33 </w:t>
    </w:r>
    <w:r w:rsidR="00B2682B">
      <w:rPr>
        <w:sz w:val="16"/>
        <w:szCs w:val="16"/>
      </w:rPr>
      <w:t xml:space="preserve">638 267; </w:t>
    </w:r>
    <w:r w:rsidR="00B2682B" w:rsidRPr="00692496">
      <w:rPr>
        <w:sz w:val="16"/>
        <w:szCs w:val="16"/>
      </w:rPr>
      <w:t xml:space="preserve">+385 33 </w:t>
    </w:r>
    <w:r w:rsidR="00AE55C3">
      <w:rPr>
        <w:sz w:val="16"/>
        <w:szCs w:val="16"/>
      </w:rPr>
      <w:t>725 230</w:t>
    </w:r>
    <w:r w:rsidR="00B2682B">
      <w:rPr>
        <w:sz w:val="16"/>
        <w:szCs w:val="16"/>
      </w:rPr>
      <w:t xml:space="preserve">  </w:t>
    </w:r>
    <w:r>
      <w:rPr>
        <w:sz w:val="16"/>
        <w:szCs w:val="16"/>
      </w:rPr>
      <w:t>(</w:t>
    </w:r>
    <w:r w:rsidR="008938EA">
      <w:rPr>
        <w:sz w:val="16"/>
        <w:szCs w:val="16"/>
      </w:rPr>
      <w:t>priprema i provedba projekata</w:t>
    </w:r>
    <w:r>
      <w:rPr>
        <w:sz w:val="16"/>
        <w:szCs w:val="16"/>
      </w:rPr>
      <w:t>)</w:t>
    </w:r>
    <w:r w:rsidR="00AE55C3">
      <w:rPr>
        <w:sz w:val="16"/>
        <w:szCs w:val="16"/>
      </w:rPr>
      <w:t xml:space="preserve">; </w:t>
    </w:r>
    <w:r w:rsidRPr="00692496">
      <w:rPr>
        <w:sz w:val="16"/>
        <w:szCs w:val="16"/>
      </w:rPr>
      <w:t xml:space="preserve">+385 33 722 </w:t>
    </w:r>
    <w:r>
      <w:rPr>
        <w:sz w:val="16"/>
        <w:szCs w:val="16"/>
      </w:rPr>
      <w:t>071</w:t>
    </w:r>
    <w:r w:rsidRPr="00692496">
      <w:rPr>
        <w:sz w:val="16"/>
        <w:szCs w:val="16"/>
      </w:rPr>
      <w:t xml:space="preserve"> (</w:t>
    </w:r>
    <w:r>
      <w:rPr>
        <w:sz w:val="16"/>
        <w:szCs w:val="16"/>
      </w:rPr>
      <w:t>financije</w:t>
    </w:r>
    <w:r w:rsidRPr="00692496">
      <w:rPr>
        <w:sz w:val="16"/>
        <w:szCs w:val="16"/>
      </w:rPr>
      <w:t>)</w:t>
    </w:r>
    <w:r>
      <w:rPr>
        <w:sz w:val="16"/>
        <w:szCs w:val="16"/>
      </w:rPr>
      <w:t xml:space="preserve">; </w:t>
    </w:r>
  </w:p>
  <w:p w14:paraId="2F99145A" w14:textId="77777777" w:rsidR="00A2067D" w:rsidRPr="00A2067D" w:rsidRDefault="00A2067D" w:rsidP="00A2067D">
    <w:pPr>
      <w:pStyle w:val="Podnoje"/>
      <w:jc w:val="center"/>
      <w:rPr>
        <w:sz w:val="16"/>
        <w:szCs w:val="16"/>
      </w:rPr>
    </w:pPr>
    <w:r w:rsidRPr="00692496">
      <w:rPr>
        <w:b/>
        <w:sz w:val="16"/>
        <w:szCs w:val="16"/>
      </w:rPr>
      <w:t>F</w:t>
    </w:r>
    <w:r w:rsidRPr="00692496">
      <w:rPr>
        <w:sz w:val="16"/>
        <w:szCs w:val="16"/>
      </w:rPr>
      <w:t xml:space="preserve"> +385 33 722 060 / </w:t>
    </w:r>
    <w:r w:rsidRPr="00692496">
      <w:rPr>
        <w:b/>
        <w:sz w:val="16"/>
        <w:szCs w:val="16"/>
      </w:rPr>
      <w:t>E</w:t>
    </w:r>
    <w:r w:rsidRPr="00692496">
      <w:rPr>
        <w:sz w:val="16"/>
        <w:szCs w:val="16"/>
      </w:rPr>
      <w:t xml:space="preserve"> info@ravidra.hr/ </w:t>
    </w:r>
    <w:r w:rsidRPr="00692496">
      <w:rPr>
        <w:b/>
        <w:sz w:val="16"/>
        <w:szCs w:val="16"/>
      </w:rPr>
      <w:t>www.ravidra.hr</w:t>
    </w:r>
    <w:r w:rsidRPr="00692496">
      <w:rPr>
        <w:sz w:val="16"/>
        <w:szCs w:val="16"/>
      </w:rPr>
      <w:t xml:space="preserve">/ </w:t>
    </w:r>
    <w:r w:rsidRPr="00692496">
      <w:rPr>
        <w:b/>
        <w:sz w:val="16"/>
        <w:szCs w:val="16"/>
      </w:rPr>
      <w:t>OIB</w:t>
    </w:r>
    <w:r w:rsidRPr="00692496">
      <w:rPr>
        <w:sz w:val="16"/>
        <w:szCs w:val="16"/>
      </w:rPr>
      <w:t xml:space="preserve"> 62056168103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BF8C" w14:textId="77777777" w:rsidR="006A1279" w:rsidRDefault="006A1279" w:rsidP="005D4672">
      <w:pPr>
        <w:spacing w:after="0" w:line="240" w:lineRule="auto"/>
      </w:pPr>
      <w:r>
        <w:separator/>
      </w:r>
    </w:p>
  </w:footnote>
  <w:footnote w:type="continuationSeparator" w:id="0">
    <w:p w14:paraId="2451223B" w14:textId="77777777" w:rsidR="006A1279" w:rsidRDefault="006A1279" w:rsidP="005D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6982" w14:textId="77777777" w:rsidR="00A2067D" w:rsidRDefault="000C464C">
    <w:pPr>
      <w:pStyle w:val="Zaglavlje"/>
    </w:pPr>
    <w:r>
      <w:rPr>
        <w:noProof/>
        <w:lang w:eastAsia="hr-HR"/>
      </w:rPr>
      <w:drawing>
        <wp:inline distT="0" distB="0" distL="0" distR="0" wp14:anchorId="5020EB81" wp14:editId="19F78F94">
          <wp:extent cx="2525677" cy="1162050"/>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ra novi logo.png"/>
                  <pic:cNvPicPr/>
                </pic:nvPicPr>
                <pic:blipFill rotWithShape="1">
                  <a:blip r:embed="rId1">
                    <a:extLst>
                      <a:ext uri="{28A0092B-C50C-407E-A947-70E740481C1C}">
                        <a14:useLocalDpi xmlns:a14="http://schemas.microsoft.com/office/drawing/2010/main" val="0"/>
                      </a:ext>
                    </a:extLst>
                  </a:blip>
                  <a:srcRect l="16327" t="16452" r="16797" b="20323"/>
                  <a:stretch/>
                </pic:blipFill>
                <pic:spPr bwMode="auto">
                  <a:xfrm>
                    <a:off x="0" y="0"/>
                    <a:ext cx="2535735" cy="1166678"/>
                  </a:xfrm>
                  <a:prstGeom prst="rect">
                    <a:avLst/>
                  </a:prstGeom>
                  <a:ln>
                    <a:noFill/>
                  </a:ln>
                  <a:extLst>
                    <a:ext uri="{53640926-AAD7-44D8-BBD7-CCE9431645EC}">
                      <a14:shadowObscured xmlns:a14="http://schemas.microsoft.com/office/drawing/2010/main"/>
                    </a:ext>
                  </a:extLst>
                </pic:spPr>
              </pic:pic>
            </a:graphicData>
          </a:graphic>
        </wp:inline>
      </w:drawing>
    </w:r>
  </w:p>
  <w:p w14:paraId="51989A82" w14:textId="77777777" w:rsidR="00A2067D" w:rsidRDefault="00A2067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90F"/>
    <w:multiLevelType w:val="hybridMultilevel"/>
    <w:tmpl w:val="E0A4B136"/>
    <w:lvl w:ilvl="0" w:tplc="94AE5308">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0A643CB8"/>
    <w:multiLevelType w:val="hybridMultilevel"/>
    <w:tmpl w:val="43521D22"/>
    <w:lvl w:ilvl="0" w:tplc="FBD22A6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CB7CC5"/>
    <w:multiLevelType w:val="hybridMultilevel"/>
    <w:tmpl w:val="A782C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4503B1"/>
    <w:multiLevelType w:val="hybridMultilevel"/>
    <w:tmpl w:val="739C96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090D6C"/>
    <w:multiLevelType w:val="hybridMultilevel"/>
    <w:tmpl w:val="A0C06B9A"/>
    <w:lvl w:ilvl="0" w:tplc="1520D186">
      <w:numFmt w:val="bullet"/>
      <w:lvlText w:val="-"/>
      <w:lvlJc w:val="left"/>
      <w:pPr>
        <w:ind w:left="1065" w:hanging="360"/>
      </w:pPr>
      <w:rPr>
        <w:rFonts w:ascii="Calibri" w:eastAsiaTheme="minorHAnsi" w:hAnsi="Calibri"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366D282B"/>
    <w:multiLevelType w:val="hybridMultilevel"/>
    <w:tmpl w:val="5E08EEE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D161CB"/>
    <w:multiLevelType w:val="hybridMultilevel"/>
    <w:tmpl w:val="F4A85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B970ED"/>
    <w:multiLevelType w:val="hybridMultilevel"/>
    <w:tmpl w:val="BBECFB80"/>
    <w:lvl w:ilvl="0" w:tplc="F42CF1D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ECC6249"/>
    <w:multiLevelType w:val="hybridMultilevel"/>
    <w:tmpl w:val="42EA6074"/>
    <w:lvl w:ilvl="0" w:tplc="E35CD210">
      <w:numFmt w:val="bullet"/>
      <w:lvlText w:val="-"/>
      <w:lvlJc w:val="left"/>
      <w:pPr>
        <w:ind w:left="1770" w:hanging="360"/>
      </w:pPr>
      <w:rPr>
        <w:rFonts w:ascii="Calibri" w:eastAsiaTheme="minorHAnsi" w:hAnsi="Calibri"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7A9A42A7"/>
    <w:multiLevelType w:val="hybridMultilevel"/>
    <w:tmpl w:val="6C00D3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2"/>
  </w:num>
  <w:num w:numId="5">
    <w:abstractNumId w:val="6"/>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2"/>
    <w:rsid w:val="00005485"/>
    <w:rsid w:val="0002794C"/>
    <w:rsid w:val="00041C19"/>
    <w:rsid w:val="0004287D"/>
    <w:rsid w:val="00045ECE"/>
    <w:rsid w:val="00046FA9"/>
    <w:rsid w:val="000503DA"/>
    <w:rsid w:val="00054EC3"/>
    <w:rsid w:val="000603F1"/>
    <w:rsid w:val="000622B0"/>
    <w:rsid w:val="000751D9"/>
    <w:rsid w:val="00081081"/>
    <w:rsid w:val="00084D20"/>
    <w:rsid w:val="00087703"/>
    <w:rsid w:val="00096D6B"/>
    <w:rsid w:val="000A0D20"/>
    <w:rsid w:val="000B16ED"/>
    <w:rsid w:val="000B2655"/>
    <w:rsid w:val="000B26B8"/>
    <w:rsid w:val="000B5283"/>
    <w:rsid w:val="000C464C"/>
    <w:rsid w:val="000E045C"/>
    <w:rsid w:val="000E078D"/>
    <w:rsid w:val="000E407D"/>
    <w:rsid w:val="000F4798"/>
    <w:rsid w:val="001144A1"/>
    <w:rsid w:val="00124D16"/>
    <w:rsid w:val="0013182F"/>
    <w:rsid w:val="00135439"/>
    <w:rsid w:val="0016601C"/>
    <w:rsid w:val="00171674"/>
    <w:rsid w:val="00182660"/>
    <w:rsid w:val="00183ED7"/>
    <w:rsid w:val="00183EDE"/>
    <w:rsid w:val="00197995"/>
    <w:rsid w:val="001A1ADE"/>
    <w:rsid w:val="001A613C"/>
    <w:rsid w:val="001A62A9"/>
    <w:rsid w:val="001B4805"/>
    <w:rsid w:val="001C1AEE"/>
    <w:rsid w:val="001D1614"/>
    <w:rsid w:val="001D3366"/>
    <w:rsid w:val="001E3D8C"/>
    <w:rsid w:val="001E3FBB"/>
    <w:rsid w:val="001E59B9"/>
    <w:rsid w:val="001F3FE5"/>
    <w:rsid w:val="001F77DB"/>
    <w:rsid w:val="00202C81"/>
    <w:rsid w:val="00216E65"/>
    <w:rsid w:val="002172AA"/>
    <w:rsid w:val="002242B0"/>
    <w:rsid w:val="00224641"/>
    <w:rsid w:val="00227251"/>
    <w:rsid w:val="00236129"/>
    <w:rsid w:val="00244481"/>
    <w:rsid w:val="00244CB3"/>
    <w:rsid w:val="00245617"/>
    <w:rsid w:val="00247BF3"/>
    <w:rsid w:val="00267840"/>
    <w:rsid w:val="00274AE7"/>
    <w:rsid w:val="0027576E"/>
    <w:rsid w:val="00280239"/>
    <w:rsid w:val="00281955"/>
    <w:rsid w:val="002973EE"/>
    <w:rsid w:val="002C2D89"/>
    <w:rsid w:val="002C65D7"/>
    <w:rsid w:val="002D3DA2"/>
    <w:rsid w:val="002D4965"/>
    <w:rsid w:val="002D5D85"/>
    <w:rsid w:val="002D7559"/>
    <w:rsid w:val="002E2525"/>
    <w:rsid w:val="002E7646"/>
    <w:rsid w:val="002F0731"/>
    <w:rsid w:val="00315EC1"/>
    <w:rsid w:val="00320CFD"/>
    <w:rsid w:val="003245F9"/>
    <w:rsid w:val="00341B60"/>
    <w:rsid w:val="003421EB"/>
    <w:rsid w:val="00344E82"/>
    <w:rsid w:val="00352FEA"/>
    <w:rsid w:val="00364337"/>
    <w:rsid w:val="00382E0F"/>
    <w:rsid w:val="0038745F"/>
    <w:rsid w:val="003901EA"/>
    <w:rsid w:val="00393260"/>
    <w:rsid w:val="00396973"/>
    <w:rsid w:val="003A2AA3"/>
    <w:rsid w:val="003B04C0"/>
    <w:rsid w:val="003B278C"/>
    <w:rsid w:val="003B37BE"/>
    <w:rsid w:val="003B4000"/>
    <w:rsid w:val="003B7FA4"/>
    <w:rsid w:val="003C6DDE"/>
    <w:rsid w:val="003D0462"/>
    <w:rsid w:val="003D4558"/>
    <w:rsid w:val="003D7E5A"/>
    <w:rsid w:val="003E4857"/>
    <w:rsid w:val="00400330"/>
    <w:rsid w:val="00403A4D"/>
    <w:rsid w:val="00405C0F"/>
    <w:rsid w:val="00417C4E"/>
    <w:rsid w:val="00427BDF"/>
    <w:rsid w:val="00431EFB"/>
    <w:rsid w:val="00433829"/>
    <w:rsid w:val="00440625"/>
    <w:rsid w:val="0044242F"/>
    <w:rsid w:val="00447CFB"/>
    <w:rsid w:val="00453DA5"/>
    <w:rsid w:val="004606A6"/>
    <w:rsid w:val="004616D8"/>
    <w:rsid w:val="004654E0"/>
    <w:rsid w:val="0048716A"/>
    <w:rsid w:val="00490FD9"/>
    <w:rsid w:val="00491506"/>
    <w:rsid w:val="004A1CD4"/>
    <w:rsid w:val="004B1FE3"/>
    <w:rsid w:val="004B4393"/>
    <w:rsid w:val="004C58C4"/>
    <w:rsid w:val="004D1D19"/>
    <w:rsid w:val="004D33B2"/>
    <w:rsid w:val="004D6482"/>
    <w:rsid w:val="0050222D"/>
    <w:rsid w:val="0051267A"/>
    <w:rsid w:val="00513028"/>
    <w:rsid w:val="0051731B"/>
    <w:rsid w:val="005413BF"/>
    <w:rsid w:val="00547DB4"/>
    <w:rsid w:val="00562EA6"/>
    <w:rsid w:val="005634F5"/>
    <w:rsid w:val="005664C0"/>
    <w:rsid w:val="00575D5C"/>
    <w:rsid w:val="00576131"/>
    <w:rsid w:val="005805FE"/>
    <w:rsid w:val="00590B67"/>
    <w:rsid w:val="005968CE"/>
    <w:rsid w:val="005C2287"/>
    <w:rsid w:val="005D39F8"/>
    <w:rsid w:val="005D4672"/>
    <w:rsid w:val="005E09B2"/>
    <w:rsid w:val="005F2AE3"/>
    <w:rsid w:val="006015DE"/>
    <w:rsid w:val="006127B0"/>
    <w:rsid w:val="00615220"/>
    <w:rsid w:val="006320B7"/>
    <w:rsid w:val="00645181"/>
    <w:rsid w:val="006625FD"/>
    <w:rsid w:val="00675443"/>
    <w:rsid w:val="006767BE"/>
    <w:rsid w:val="00692422"/>
    <w:rsid w:val="00692496"/>
    <w:rsid w:val="00693DBD"/>
    <w:rsid w:val="006A1279"/>
    <w:rsid w:val="006A13B0"/>
    <w:rsid w:val="006B420F"/>
    <w:rsid w:val="006B60FA"/>
    <w:rsid w:val="006B7F08"/>
    <w:rsid w:val="006C6594"/>
    <w:rsid w:val="006D6383"/>
    <w:rsid w:val="006F27FB"/>
    <w:rsid w:val="006F7C35"/>
    <w:rsid w:val="0070522A"/>
    <w:rsid w:val="00713CA4"/>
    <w:rsid w:val="007150CF"/>
    <w:rsid w:val="00723195"/>
    <w:rsid w:val="00725FFA"/>
    <w:rsid w:val="00727FC8"/>
    <w:rsid w:val="007321F9"/>
    <w:rsid w:val="00756C96"/>
    <w:rsid w:val="0077282D"/>
    <w:rsid w:val="00773723"/>
    <w:rsid w:val="00777754"/>
    <w:rsid w:val="007929BD"/>
    <w:rsid w:val="007A7002"/>
    <w:rsid w:val="007E1BF0"/>
    <w:rsid w:val="007F0B89"/>
    <w:rsid w:val="008028D0"/>
    <w:rsid w:val="00803234"/>
    <w:rsid w:val="00804CE8"/>
    <w:rsid w:val="008075BF"/>
    <w:rsid w:val="00812261"/>
    <w:rsid w:val="00825B7A"/>
    <w:rsid w:val="0083556C"/>
    <w:rsid w:val="00842913"/>
    <w:rsid w:val="00842FCB"/>
    <w:rsid w:val="00845A95"/>
    <w:rsid w:val="00853D12"/>
    <w:rsid w:val="008630C5"/>
    <w:rsid w:val="008938EA"/>
    <w:rsid w:val="00897471"/>
    <w:rsid w:val="008A46E9"/>
    <w:rsid w:val="008B2DE7"/>
    <w:rsid w:val="008B3361"/>
    <w:rsid w:val="008B3AE3"/>
    <w:rsid w:val="008C3AAF"/>
    <w:rsid w:val="008C4741"/>
    <w:rsid w:val="008C697B"/>
    <w:rsid w:val="008F2284"/>
    <w:rsid w:val="00912D20"/>
    <w:rsid w:val="009205D4"/>
    <w:rsid w:val="009320CD"/>
    <w:rsid w:val="00935CFD"/>
    <w:rsid w:val="00947088"/>
    <w:rsid w:val="00950820"/>
    <w:rsid w:val="00953160"/>
    <w:rsid w:val="00953892"/>
    <w:rsid w:val="00954B82"/>
    <w:rsid w:val="00955263"/>
    <w:rsid w:val="00960AD3"/>
    <w:rsid w:val="009641DA"/>
    <w:rsid w:val="009665F4"/>
    <w:rsid w:val="00972F71"/>
    <w:rsid w:val="009821DA"/>
    <w:rsid w:val="00992974"/>
    <w:rsid w:val="00994DEB"/>
    <w:rsid w:val="009A03A9"/>
    <w:rsid w:val="009A2A90"/>
    <w:rsid w:val="009A7930"/>
    <w:rsid w:val="009B2D5C"/>
    <w:rsid w:val="009C0C9F"/>
    <w:rsid w:val="009C42F4"/>
    <w:rsid w:val="009D28B0"/>
    <w:rsid w:val="009D7553"/>
    <w:rsid w:val="009E36E3"/>
    <w:rsid w:val="009F67F3"/>
    <w:rsid w:val="00A03DEF"/>
    <w:rsid w:val="00A16991"/>
    <w:rsid w:val="00A2067D"/>
    <w:rsid w:val="00A25893"/>
    <w:rsid w:val="00A37D20"/>
    <w:rsid w:val="00A528C8"/>
    <w:rsid w:val="00A57159"/>
    <w:rsid w:val="00A62F14"/>
    <w:rsid w:val="00A76514"/>
    <w:rsid w:val="00A766D2"/>
    <w:rsid w:val="00A82C9D"/>
    <w:rsid w:val="00A85BF5"/>
    <w:rsid w:val="00A95DA7"/>
    <w:rsid w:val="00AA3EBD"/>
    <w:rsid w:val="00AA5390"/>
    <w:rsid w:val="00AB090C"/>
    <w:rsid w:val="00AC2FA5"/>
    <w:rsid w:val="00AC309E"/>
    <w:rsid w:val="00AC4DE3"/>
    <w:rsid w:val="00AE55C3"/>
    <w:rsid w:val="00AF4D0C"/>
    <w:rsid w:val="00B0679B"/>
    <w:rsid w:val="00B11CAE"/>
    <w:rsid w:val="00B1434C"/>
    <w:rsid w:val="00B206BF"/>
    <w:rsid w:val="00B254BB"/>
    <w:rsid w:val="00B25D93"/>
    <w:rsid w:val="00B2682B"/>
    <w:rsid w:val="00B373C3"/>
    <w:rsid w:val="00B47090"/>
    <w:rsid w:val="00B528F8"/>
    <w:rsid w:val="00B5470D"/>
    <w:rsid w:val="00B55B9C"/>
    <w:rsid w:val="00B95343"/>
    <w:rsid w:val="00BC515F"/>
    <w:rsid w:val="00BC5B5D"/>
    <w:rsid w:val="00BC725A"/>
    <w:rsid w:val="00BD388A"/>
    <w:rsid w:val="00BD46F1"/>
    <w:rsid w:val="00BE4341"/>
    <w:rsid w:val="00BF26A6"/>
    <w:rsid w:val="00C02614"/>
    <w:rsid w:val="00C05C2B"/>
    <w:rsid w:val="00C0782E"/>
    <w:rsid w:val="00C167A9"/>
    <w:rsid w:val="00C210B3"/>
    <w:rsid w:val="00C27DC8"/>
    <w:rsid w:val="00C339E9"/>
    <w:rsid w:val="00C35917"/>
    <w:rsid w:val="00C50A06"/>
    <w:rsid w:val="00C52CA6"/>
    <w:rsid w:val="00C54BE5"/>
    <w:rsid w:val="00C62F3A"/>
    <w:rsid w:val="00C66AB3"/>
    <w:rsid w:val="00C77A31"/>
    <w:rsid w:val="00C81E7A"/>
    <w:rsid w:val="00C90456"/>
    <w:rsid w:val="00C911FF"/>
    <w:rsid w:val="00CA3208"/>
    <w:rsid w:val="00CA4C09"/>
    <w:rsid w:val="00CA7F7A"/>
    <w:rsid w:val="00CC13D8"/>
    <w:rsid w:val="00CE2998"/>
    <w:rsid w:val="00CF65FA"/>
    <w:rsid w:val="00D01469"/>
    <w:rsid w:val="00D2039A"/>
    <w:rsid w:val="00D302B7"/>
    <w:rsid w:val="00D324BF"/>
    <w:rsid w:val="00D46F34"/>
    <w:rsid w:val="00D54838"/>
    <w:rsid w:val="00D618BC"/>
    <w:rsid w:val="00D63265"/>
    <w:rsid w:val="00D67765"/>
    <w:rsid w:val="00D734D8"/>
    <w:rsid w:val="00D760E6"/>
    <w:rsid w:val="00D772C9"/>
    <w:rsid w:val="00D776D7"/>
    <w:rsid w:val="00D80A04"/>
    <w:rsid w:val="00D82BFB"/>
    <w:rsid w:val="00D8523D"/>
    <w:rsid w:val="00DA37E2"/>
    <w:rsid w:val="00DA40F2"/>
    <w:rsid w:val="00DB0E22"/>
    <w:rsid w:val="00DC256D"/>
    <w:rsid w:val="00DF5148"/>
    <w:rsid w:val="00E002DF"/>
    <w:rsid w:val="00E00BB6"/>
    <w:rsid w:val="00E03194"/>
    <w:rsid w:val="00E04EDB"/>
    <w:rsid w:val="00E13F99"/>
    <w:rsid w:val="00E41D23"/>
    <w:rsid w:val="00E559E9"/>
    <w:rsid w:val="00E55D69"/>
    <w:rsid w:val="00E66CD3"/>
    <w:rsid w:val="00E8658D"/>
    <w:rsid w:val="00EA5EB6"/>
    <w:rsid w:val="00EA7596"/>
    <w:rsid w:val="00EB5DF2"/>
    <w:rsid w:val="00EC77EC"/>
    <w:rsid w:val="00ED08B3"/>
    <w:rsid w:val="00ED09C3"/>
    <w:rsid w:val="00ED1392"/>
    <w:rsid w:val="00ED15E7"/>
    <w:rsid w:val="00EE522C"/>
    <w:rsid w:val="00EF415F"/>
    <w:rsid w:val="00F02183"/>
    <w:rsid w:val="00F20EA1"/>
    <w:rsid w:val="00F24A47"/>
    <w:rsid w:val="00F37C9E"/>
    <w:rsid w:val="00F5271B"/>
    <w:rsid w:val="00F652C0"/>
    <w:rsid w:val="00F8547D"/>
    <w:rsid w:val="00FB0883"/>
    <w:rsid w:val="00FB12A6"/>
    <w:rsid w:val="00FD770B"/>
    <w:rsid w:val="00FE3735"/>
    <w:rsid w:val="00FE5DDF"/>
    <w:rsid w:val="00FF2C2E"/>
    <w:rsid w:val="00FF3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D0A77"/>
  <w15:docId w15:val="{476AAC81-102F-4CCD-B61B-3E89E46A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A70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D46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4672"/>
  </w:style>
  <w:style w:type="paragraph" w:styleId="Podnoje">
    <w:name w:val="footer"/>
    <w:basedOn w:val="Normal"/>
    <w:link w:val="PodnojeChar"/>
    <w:uiPriority w:val="99"/>
    <w:unhideWhenUsed/>
    <w:rsid w:val="005D46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4672"/>
  </w:style>
  <w:style w:type="paragraph" w:styleId="Tekstbalonia">
    <w:name w:val="Balloon Text"/>
    <w:basedOn w:val="Normal"/>
    <w:link w:val="TekstbaloniaChar"/>
    <w:uiPriority w:val="99"/>
    <w:semiHidden/>
    <w:unhideWhenUsed/>
    <w:rsid w:val="005D46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672"/>
    <w:rPr>
      <w:rFonts w:ascii="Tahoma" w:hAnsi="Tahoma" w:cs="Tahoma"/>
      <w:sz w:val="16"/>
      <w:szCs w:val="16"/>
    </w:rPr>
  </w:style>
  <w:style w:type="character" w:styleId="Hiperveza">
    <w:name w:val="Hyperlink"/>
    <w:basedOn w:val="Zadanifontodlomka"/>
    <w:uiPriority w:val="99"/>
    <w:unhideWhenUsed/>
    <w:rsid w:val="00692496"/>
    <w:rPr>
      <w:color w:val="0000FF" w:themeColor="hyperlink"/>
      <w:u w:val="single"/>
    </w:rPr>
  </w:style>
  <w:style w:type="paragraph" w:styleId="Odlomakpopisa">
    <w:name w:val="List Paragraph"/>
    <w:basedOn w:val="Normal"/>
    <w:uiPriority w:val="34"/>
    <w:qFormat/>
    <w:rsid w:val="00950820"/>
    <w:pPr>
      <w:ind w:left="720"/>
      <w:contextualSpacing/>
    </w:pPr>
  </w:style>
  <w:style w:type="character" w:customStyle="1" w:styleId="Naslov1Char">
    <w:name w:val="Naslov 1 Char"/>
    <w:basedOn w:val="Zadanifontodlomka"/>
    <w:link w:val="Naslov1"/>
    <w:uiPriority w:val="9"/>
    <w:rsid w:val="007A7002"/>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1E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1740">
      <w:bodyDiv w:val="1"/>
      <w:marLeft w:val="0"/>
      <w:marRight w:val="0"/>
      <w:marTop w:val="0"/>
      <w:marBottom w:val="0"/>
      <w:divBdr>
        <w:top w:val="none" w:sz="0" w:space="0" w:color="auto"/>
        <w:left w:val="none" w:sz="0" w:space="0" w:color="auto"/>
        <w:bottom w:val="none" w:sz="0" w:space="0" w:color="auto"/>
        <w:right w:val="none" w:sz="0" w:space="0" w:color="auto"/>
      </w:divBdr>
    </w:div>
    <w:div w:id="956763816">
      <w:bodyDiv w:val="1"/>
      <w:marLeft w:val="0"/>
      <w:marRight w:val="0"/>
      <w:marTop w:val="0"/>
      <w:marBottom w:val="0"/>
      <w:divBdr>
        <w:top w:val="none" w:sz="0" w:space="0" w:color="auto"/>
        <w:left w:val="none" w:sz="0" w:space="0" w:color="auto"/>
        <w:bottom w:val="none" w:sz="0" w:space="0" w:color="auto"/>
        <w:right w:val="none" w:sz="0" w:space="0" w:color="auto"/>
      </w:divBdr>
    </w:div>
    <w:div w:id="1555771356">
      <w:bodyDiv w:val="1"/>
      <w:marLeft w:val="0"/>
      <w:marRight w:val="0"/>
      <w:marTop w:val="0"/>
      <w:marBottom w:val="0"/>
      <w:divBdr>
        <w:top w:val="none" w:sz="0" w:space="0" w:color="auto"/>
        <w:left w:val="none" w:sz="0" w:space="0" w:color="auto"/>
        <w:bottom w:val="none" w:sz="0" w:space="0" w:color="auto"/>
        <w:right w:val="none" w:sz="0" w:space="0" w:color="auto"/>
      </w:divBdr>
    </w:div>
    <w:div w:id="16427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FC390.F08F64F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A90D-83B4-49EA-919A-164B62BB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12517</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Ana Krepelnik</cp:lastModifiedBy>
  <cp:revision>58</cp:revision>
  <cp:lastPrinted>2020-01-31T08:18:00Z</cp:lastPrinted>
  <dcterms:created xsi:type="dcterms:W3CDTF">2020-01-31T08:22:00Z</dcterms:created>
  <dcterms:modified xsi:type="dcterms:W3CDTF">2022-01-31T08:31:00Z</dcterms:modified>
</cp:coreProperties>
</file>